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9A2" w:rsidRPr="001B34B6" w:rsidRDefault="00C009A2" w:rsidP="001B34B6">
      <w:pPr>
        <w:shd w:val="clear" w:color="auto" w:fill="FFFFFF"/>
        <w:spacing w:after="0" w:line="285" w:lineRule="atLeast"/>
        <w:ind w:right="225"/>
        <w:jc w:val="center"/>
        <w:rPr>
          <w:rFonts w:ascii="Arial" w:eastAsia="Times New Roman" w:hAnsi="Arial" w:cs="Arial"/>
          <w:sz w:val="20"/>
          <w:szCs w:val="20"/>
        </w:rPr>
      </w:pPr>
      <w:r w:rsidRPr="001B34B6">
        <w:rPr>
          <w:rFonts w:ascii="Arial" w:eastAsia="Times New Roman" w:hAnsi="Arial" w:cs="Arial"/>
          <w:b/>
          <w:bCs/>
          <w:sz w:val="20"/>
          <w:szCs w:val="20"/>
        </w:rPr>
        <w:t>IN THE SUPREME COURT OF INDIA</w:t>
      </w:r>
    </w:p>
    <w:p w:rsidR="00C009A2" w:rsidRPr="001B34B6" w:rsidRDefault="00C009A2" w:rsidP="001B34B6">
      <w:pPr>
        <w:shd w:val="clear" w:color="auto" w:fill="FFFFFF"/>
        <w:spacing w:after="210" w:line="285" w:lineRule="atLeast"/>
        <w:ind w:right="225"/>
        <w:jc w:val="center"/>
        <w:rPr>
          <w:rFonts w:ascii="Arial" w:eastAsia="Times New Roman" w:hAnsi="Arial" w:cs="Arial"/>
          <w:sz w:val="20"/>
          <w:szCs w:val="20"/>
        </w:rPr>
      </w:pPr>
      <w:r w:rsidRPr="001B34B6">
        <w:rPr>
          <w:rFonts w:ascii="Arial" w:eastAsia="Times New Roman" w:hAnsi="Arial" w:cs="Arial"/>
          <w:sz w:val="20"/>
          <w:szCs w:val="20"/>
        </w:rPr>
        <w:t>Writ Petition (c) No. 80 of 2006, TC (C) No. 54 of 2011 (Arising out of TP (C) No. 92/2009), TC (C) No. 55 of 2011 (Arising out of TP (C) No. 152/2009), TC (C) No. 56 of 2011 (Arising out of TP (C) No. 168/2009), TC (C) No. 57 of 2011 (Arising out of TP (C) No. 185/2009) and TC (C) No. 58 of 2011 (Arising out of TP (C) No. 218/2009) [Under Article 32 of the Constitution of India]</w:t>
      </w:r>
    </w:p>
    <w:p w:rsidR="00C009A2" w:rsidRPr="001B34B6" w:rsidRDefault="00C009A2" w:rsidP="001B34B6">
      <w:pPr>
        <w:shd w:val="clear" w:color="auto" w:fill="FFFFFF"/>
        <w:spacing w:after="210" w:line="285" w:lineRule="atLeast"/>
        <w:ind w:right="225"/>
        <w:jc w:val="center"/>
        <w:rPr>
          <w:rFonts w:ascii="Arial" w:eastAsia="Times New Roman" w:hAnsi="Arial" w:cs="Arial"/>
          <w:sz w:val="20"/>
          <w:szCs w:val="20"/>
        </w:rPr>
      </w:pPr>
      <w:r w:rsidRPr="001B34B6">
        <w:rPr>
          <w:rFonts w:ascii="Arial" w:eastAsia="Times New Roman" w:hAnsi="Arial" w:cs="Arial"/>
          <w:sz w:val="20"/>
          <w:szCs w:val="20"/>
        </w:rPr>
        <w:t>Decided On: 04.07.2011</w:t>
      </w:r>
    </w:p>
    <w:p w:rsidR="00C009A2" w:rsidRPr="001B34B6" w:rsidRDefault="00C009A2" w:rsidP="001B34B6">
      <w:pPr>
        <w:shd w:val="clear" w:color="auto" w:fill="FFFFFF"/>
        <w:spacing w:after="0" w:line="285" w:lineRule="atLeast"/>
        <w:ind w:right="225"/>
        <w:jc w:val="center"/>
        <w:rPr>
          <w:rFonts w:ascii="Arial" w:eastAsia="Times New Roman" w:hAnsi="Arial" w:cs="Arial"/>
          <w:sz w:val="20"/>
          <w:szCs w:val="20"/>
        </w:rPr>
      </w:pPr>
      <w:r w:rsidRPr="001B34B6">
        <w:rPr>
          <w:rFonts w:ascii="Arial" w:eastAsia="Times New Roman" w:hAnsi="Arial" w:cs="Arial"/>
          <w:sz w:val="20"/>
          <w:szCs w:val="20"/>
        </w:rPr>
        <w:t>Appellants: </w:t>
      </w:r>
      <w:r w:rsidRPr="001B34B6">
        <w:rPr>
          <w:rFonts w:ascii="Arial" w:eastAsia="Times New Roman" w:hAnsi="Arial" w:cs="Arial"/>
          <w:b/>
          <w:bCs/>
          <w:sz w:val="20"/>
          <w:szCs w:val="20"/>
        </w:rPr>
        <w:t>Academy of Nutrition Improvement and Ors.</w:t>
      </w:r>
      <w:r w:rsidRPr="001B34B6">
        <w:rPr>
          <w:rFonts w:ascii="Arial" w:eastAsia="Times New Roman" w:hAnsi="Arial" w:cs="Arial"/>
          <w:sz w:val="20"/>
          <w:szCs w:val="20"/>
        </w:rPr>
        <w:br/>
      </w:r>
      <w:r w:rsidRPr="001B34B6">
        <w:rPr>
          <w:rFonts w:ascii="Arial" w:eastAsia="Times New Roman" w:hAnsi="Arial" w:cs="Arial"/>
          <w:b/>
          <w:bCs/>
          <w:sz w:val="20"/>
          <w:szCs w:val="20"/>
        </w:rPr>
        <w:t>Vs</w:t>
      </w:r>
      <w:proofErr w:type="gramStart"/>
      <w:r w:rsidRPr="001B34B6">
        <w:rPr>
          <w:rFonts w:ascii="Arial" w:eastAsia="Times New Roman" w:hAnsi="Arial" w:cs="Arial"/>
          <w:b/>
          <w:bCs/>
          <w:sz w:val="20"/>
          <w:szCs w:val="20"/>
        </w:rPr>
        <w:t>.</w:t>
      </w:r>
      <w:proofErr w:type="gramEnd"/>
      <w:r w:rsidRPr="001B34B6">
        <w:rPr>
          <w:rFonts w:ascii="Arial" w:eastAsia="Times New Roman" w:hAnsi="Arial" w:cs="Arial"/>
          <w:sz w:val="20"/>
          <w:szCs w:val="20"/>
        </w:rPr>
        <w:br/>
        <w:t>Respondent: </w:t>
      </w:r>
      <w:r w:rsidRPr="001B34B6">
        <w:rPr>
          <w:rFonts w:ascii="Arial" w:eastAsia="Times New Roman" w:hAnsi="Arial" w:cs="Arial"/>
          <w:b/>
          <w:bCs/>
          <w:sz w:val="20"/>
          <w:szCs w:val="20"/>
        </w:rPr>
        <w:t>Union of India (UOI)</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proofErr w:type="spellStart"/>
      <w:r w:rsidRPr="001B34B6">
        <w:rPr>
          <w:rFonts w:ascii="Arial" w:eastAsia="Times New Roman" w:hAnsi="Arial" w:cs="Arial"/>
          <w:b/>
          <w:bCs/>
          <w:sz w:val="20"/>
          <w:szCs w:val="20"/>
        </w:rPr>
        <w:t>Hon'ble</w:t>
      </w:r>
      <w:proofErr w:type="spellEnd"/>
      <w:r w:rsidRPr="001B34B6">
        <w:rPr>
          <w:rFonts w:ascii="Arial" w:eastAsia="Times New Roman" w:hAnsi="Arial" w:cs="Arial"/>
          <w:b/>
          <w:bCs/>
          <w:sz w:val="20"/>
          <w:szCs w:val="20"/>
        </w:rPr>
        <w:t xml:space="preserve"> Judges/Coram</w:t>
      </w:r>
      <w:proofErr w:type="gramStart"/>
      <w:r w:rsidRPr="001B34B6">
        <w:rPr>
          <w:rFonts w:ascii="Arial" w:eastAsia="Times New Roman" w:hAnsi="Arial" w:cs="Arial"/>
          <w:b/>
          <w:bCs/>
          <w:sz w:val="20"/>
          <w:szCs w:val="20"/>
        </w:rPr>
        <w:t>:</w:t>
      </w:r>
      <w:proofErr w:type="gramEnd"/>
      <w:r w:rsidRPr="001B34B6">
        <w:rPr>
          <w:rFonts w:ascii="Arial" w:eastAsia="Times New Roman" w:hAnsi="Arial" w:cs="Arial"/>
          <w:sz w:val="20"/>
          <w:szCs w:val="20"/>
        </w:rPr>
        <w:br/>
        <w:t xml:space="preserve">R.V. </w:t>
      </w:r>
      <w:proofErr w:type="spellStart"/>
      <w:r w:rsidRPr="001B34B6">
        <w:rPr>
          <w:rFonts w:ascii="Arial" w:eastAsia="Times New Roman" w:hAnsi="Arial" w:cs="Arial"/>
          <w:sz w:val="20"/>
          <w:szCs w:val="20"/>
        </w:rPr>
        <w:t>Raveendran</w:t>
      </w:r>
      <w:proofErr w:type="spellEnd"/>
      <w:r w:rsidRPr="001B34B6">
        <w:rPr>
          <w:rFonts w:ascii="Arial" w:eastAsia="Times New Roman" w:hAnsi="Arial" w:cs="Arial"/>
          <w:sz w:val="20"/>
          <w:szCs w:val="20"/>
        </w:rPr>
        <w:t xml:space="preserve"> and B. </w:t>
      </w:r>
      <w:proofErr w:type="spellStart"/>
      <w:r w:rsidRPr="001B34B6">
        <w:rPr>
          <w:rFonts w:ascii="Arial" w:eastAsia="Times New Roman" w:hAnsi="Arial" w:cs="Arial"/>
          <w:sz w:val="20"/>
          <w:szCs w:val="20"/>
        </w:rPr>
        <w:t>Sudershan</w:t>
      </w:r>
      <w:proofErr w:type="spellEnd"/>
      <w:r w:rsidRPr="001B34B6">
        <w:rPr>
          <w:rFonts w:ascii="Arial" w:eastAsia="Times New Roman" w:hAnsi="Arial" w:cs="Arial"/>
          <w:sz w:val="20"/>
          <w:szCs w:val="20"/>
        </w:rPr>
        <w:t xml:space="preserve"> Reddy, JJ.</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b/>
          <w:bCs/>
          <w:sz w:val="20"/>
          <w:szCs w:val="20"/>
        </w:rPr>
        <w:t>JUDGMENT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b/>
          <w:bCs/>
          <w:sz w:val="20"/>
          <w:szCs w:val="20"/>
        </w:rPr>
        <w:t xml:space="preserve">R.V. </w:t>
      </w:r>
      <w:proofErr w:type="spellStart"/>
      <w:r w:rsidRPr="001B34B6">
        <w:rPr>
          <w:rFonts w:ascii="Arial" w:eastAsia="Times New Roman" w:hAnsi="Arial" w:cs="Arial"/>
          <w:b/>
          <w:bCs/>
          <w:sz w:val="20"/>
          <w:szCs w:val="20"/>
        </w:rPr>
        <w:t>Raveendran</w:t>
      </w:r>
      <w:proofErr w:type="spellEnd"/>
      <w:r w:rsidRPr="001B34B6">
        <w:rPr>
          <w:rFonts w:ascii="Arial" w:eastAsia="Times New Roman" w:hAnsi="Arial" w:cs="Arial"/>
          <w:b/>
          <w:bCs/>
          <w:sz w:val="20"/>
          <w:szCs w:val="20"/>
        </w:rPr>
        <w:t>, J.</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 The Petitioners have sought a declaration that the Prevention of Food Adulteration (Eighth Amendment) Rules, 2005 [vide Notification No. GSR 670(E) dated 17.11.2005 of the Ministry of Health and Family Welfare, Government of India] is unconstitutional and invalid. The grievance is primarily in regard to Rule 44I inserted in the Prevention of Food Adulteration Rules 1955 by the said Amendment Rules. The said Rule reads as follows:</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proofErr w:type="gramStart"/>
      <w:r w:rsidRPr="001B34B6">
        <w:rPr>
          <w:rFonts w:ascii="Arial" w:eastAsia="Times New Roman" w:hAnsi="Arial" w:cs="Arial"/>
          <w:sz w:val="20"/>
          <w:szCs w:val="20"/>
        </w:rPr>
        <w:t>44 1.</w:t>
      </w:r>
      <w:proofErr w:type="gramEnd"/>
      <w:r w:rsidRPr="001B34B6">
        <w:rPr>
          <w:rFonts w:ascii="Arial" w:eastAsia="Times New Roman" w:hAnsi="Arial" w:cs="Arial"/>
          <w:sz w:val="20"/>
          <w:szCs w:val="20"/>
        </w:rPr>
        <w:t xml:space="preserve"> Restriction on sale of common salt - No person shall sell or offer to expose for sale or have in his premises for the purpose of sale, the common salt, for direct human consumption unless the same is iodized: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Provided that common salt may be sold or exposed for sale or stores for sale for iodization, iron fortification, animal use, preservation, manufacturing medicines, and industrial use, under proper label declarations, as specified under Clause (22) of Sub-rule (</w:t>
      </w:r>
      <w:proofErr w:type="spellStart"/>
      <w:r w:rsidRPr="001B34B6">
        <w:rPr>
          <w:rFonts w:ascii="Arial" w:eastAsia="Times New Roman" w:hAnsi="Arial" w:cs="Arial"/>
          <w:sz w:val="20"/>
          <w:szCs w:val="20"/>
        </w:rPr>
        <w:t>zzz</w:t>
      </w:r>
      <w:proofErr w:type="spellEnd"/>
      <w:r w:rsidRPr="001B34B6">
        <w:rPr>
          <w:rFonts w:ascii="Arial" w:eastAsia="Times New Roman" w:hAnsi="Arial" w:cs="Arial"/>
          <w:sz w:val="20"/>
          <w:szCs w:val="20"/>
        </w:rPr>
        <w:t>) of Rule 42.</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The incidental challenge is to consequential amendments to the Rules by insertion of Rule 43(</w:t>
      </w:r>
      <w:proofErr w:type="spellStart"/>
      <w:r w:rsidRPr="001B34B6">
        <w:rPr>
          <w:rFonts w:ascii="Arial" w:eastAsia="Times New Roman" w:hAnsi="Arial" w:cs="Arial"/>
          <w:sz w:val="20"/>
          <w:szCs w:val="20"/>
        </w:rPr>
        <w:t>zzz</w:t>
      </w:r>
      <w:proofErr w:type="spellEnd"/>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22) which reads as under:</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Rule 43(</w:t>
      </w:r>
      <w:proofErr w:type="spellStart"/>
      <w:r w:rsidRPr="001B34B6">
        <w:rPr>
          <w:rFonts w:ascii="Arial" w:eastAsia="Times New Roman" w:hAnsi="Arial" w:cs="Arial"/>
          <w:sz w:val="20"/>
          <w:szCs w:val="20"/>
        </w:rPr>
        <w:t>zzz</w:t>
      </w:r>
      <w:proofErr w:type="spellEnd"/>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22). Every container or package of common salt shall bear the following label, namely:</w:t>
      </w:r>
    </w:p>
    <w:tbl>
      <w:tblPr>
        <w:tblW w:w="0" w:type="auto"/>
        <w:tblCellSpacing w:w="0" w:type="dxa"/>
        <w:tblCellMar>
          <w:left w:w="0" w:type="dxa"/>
          <w:right w:w="0" w:type="dxa"/>
        </w:tblCellMar>
        <w:tblLook w:val="04A0"/>
      </w:tblPr>
      <w:tblGrid>
        <w:gridCol w:w="8850"/>
      </w:tblGrid>
      <w:tr w:rsidR="00C009A2" w:rsidRPr="001B34B6" w:rsidTr="00C009A2">
        <w:trPr>
          <w:tblCellSpacing w:w="0" w:type="dxa"/>
        </w:trPr>
        <w:tc>
          <w:tcPr>
            <w:tcW w:w="8850" w:type="dxa"/>
            <w:tcBorders>
              <w:top w:val="outset" w:sz="6" w:space="0" w:color="auto"/>
              <w:left w:val="outset" w:sz="6" w:space="0" w:color="auto"/>
              <w:bottom w:val="outset" w:sz="6" w:space="0" w:color="auto"/>
              <w:right w:val="outset" w:sz="6" w:space="0" w:color="auto"/>
            </w:tcBorders>
            <w:hideMark/>
          </w:tcPr>
          <w:p w:rsidR="00C009A2" w:rsidRPr="001B34B6" w:rsidRDefault="00C009A2" w:rsidP="001B34B6">
            <w:pPr>
              <w:spacing w:after="210" w:line="240" w:lineRule="auto"/>
              <w:ind w:right="225"/>
              <w:jc w:val="both"/>
              <w:rPr>
                <w:rFonts w:ascii="Arial" w:eastAsia="Times New Roman" w:hAnsi="Arial" w:cs="Arial"/>
                <w:sz w:val="20"/>
                <w:szCs w:val="20"/>
              </w:rPr>
            </w:pPr>
            <w:r w:rsidRPr="001B34B6">
              <w:rPr>
                <w:rFonts w:ascii="Arial" w:eastAsia="Times New Roman" w:hAnsi="Arial" w:cs="Arial"/>
                <w:sz w:val="20"/>
                <w:szCs w:val="20"/>
              </w:rPr>
              <w:t>COMMON SALT FOR IODISATION/IRON FORTIFICATION/ ANIMAL USE/PRESERVATION/MEDICINE/INDUSTRIAL USE*</w:t>
            </w:r>
          </w:p>
          <w:p w:rsidR="00C009A2" w:rsidRPr="001B34B6" w:rsidRDefault="00C009A2" w:rsidP="001B34B6">
            <w:pPr>
              <w:spacing w:after="210" w:line="240" w:lineRule="auto"/>
              <w:ind w:right="225"/>
              <w:jc w:val="both"/>
              <w:rPr>
                <w:rFonts w:ascii="Arial" w:eastAsia="Times New Roman" w:hAnsi="Arial" w:cs="Arial"/>
                <w:sz w:val="20"/>
                <w:szCs w:val="20"/>
              </w:rPr>
            </w:pPr>
            <w:r w:rsidRPr="001B34B6">
              <w:rPr>
                <w:rFonts w:ascii="Arial" w:eastAsia="Times New Roman" w:hAnsi="Arial" w:cs="Arial"/>
                <w:sz w:val="20"/>
                <w:szCs w:val="20"/>
              </w:rPr>
              <w:t>*Strike out whichever is not applicable</w:t>
            </w:r>
          </w:p>
        </w:tc>
      </w:tr>
    </w:tbl>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 The Government of India has been promoting the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place of common salt, for human consumption, since 1962 by launching a centrally assisted programmed for supplying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place of common salt with the object of controlling and reducing various Iodine Deficiency Disorders including </w:t>
      </w:r>
      <w:proofErr w:type="spellStart"/>
      <w:r w:rsidRPr="001B34B6">
        <w:rPr>
          <w:rFonts w:ascii="Arial" w:eastAsia="Times New Roman" w:hAnsi="Arial" w:cs="Arial"/>
          <w:sz w:val="20"/>
          <w:szCs w:val="20"/>
        </w:rPr>
        <w:t>Goitre</w:t>
      </w:r>
      <w:proofErr w:type="spellEnd"/>
      <w:r w:rsidRPr="001B34B6">
        <w:rPr>
          <w:rFonts w:ascii="Arial" w:eastAsia="Times New Roman" w:hAnsi="Arial" w:cs="Arial"/>
          <w:sz w:val="20"/>
          <w:szCs w:val="20"/>
        </w:rPr>
        <w:t xml:space="preserve"> (for short TD Ds'). In April, 1992, the Central Committee for Food Standards (CCFS), a statutory body providing technical advice to the Government on food-related matters, approved the proposal for mandatory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provided such mandatory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was done only in respect of edible salt for direct human consumption and not in regard to salt meant for commercial use by the food industry. In pursuance of it, Government of India took a decision to </w:t>
      </w:r>
      <w:proofErr w:type="spellStart"/>
      <w:r w:rsidRPr="001B34B6">
        <w:rPr>
          <w:rFonts w:ascii="Arial" w:eastAsia="Times New Roman" w:hAnsi="Arial" w:cs="Arial"/>
          <w:sz w:val="20"/>
          <w:szCs w:val="20"/>
        </w:rPr>
        <w:t>iodise</w:t>
      </w:r>
      <w:proofErr w:type="spellEnd"/>
      <w:r w:rsidRPr="001B34B6">
        <w:rPr>
          <w:rFonts w:ascii="Arial" w:eastAsia="Times New Roman" w:hAnsi="Arial" w:cs="Arial"/>
          <w:sz w:val="20"/>
          <w:szCs w:val="20"/>
        </w:rPr>
        <w:t xml:space="preserve"> </w:t>
      </w:r>
      <w:r w:rsidRPr="001B34B6">
        <w:rPr>
          <w:rFonts w:ascii="Arial" w:eastAsia="Times New Roman" w:hAnsi="Arial" w:cs="Arial"/>
          <w:sz w:val="20"/>
          <w:szCs w:val="20"/>
        </w:rPr>
        <w:lastRenderedPageBreak/>
        <w:t>the entire edible salt for direct human consumption in the country. As a consequence, the state governments were advised to implement the compulsory iodization of salt within their own territories by placing suitable restrictions on the marketing and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direct human consumption by invoking the provisions of Section 7(iv) of the Prevention of Food Adulteration Act, 1954 ('Act' for short). Based on such advice, various States took action by issuing notifications prohibiting/restricting the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Subsequently, with the object of uniformly applying the ban throughout the country, the Central Government inserted Rule 44H in the Prevention of Food Adulteration Rules, 1955 ('Rules' for short), by the Prevention of Food Adulteration (Tenth Amendment) Rules 1997 (vide notification dated 27.11.1997), banning the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common salt for direct human consumption. The said Rule 44H came into effect on 27.5.1998. It is stated that by then, almost all the States (except Kerala, Maharashtra and parts of Andhra Pradesh) had imposed ban or restrictions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3. The said amendment inserting Rule 44H prohibiting the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direct human consumption was reviewed by the Central Government. On such review, it came to the conclusion that such a restriction could be more effectively exercised by the State Governments in regard to the respective areas within their jurisdiction, keeping in view the nutritional profiles of the populace in different parts of the respective state, whereas such a flexibility was not available as a result of the Central Government making the rule (Rule 44H) mandating the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the entire country, without any option or choice. In view of it, the Central Government omitted Rule 44H from the Rules with effect from 30.9.2000, by the Prevention of Food Adulteration (Fifth Amendment) Rules 2000 (vide notification dated 13.9.2000), so that more informed decisions could be taken by the respective State Governments on the question whether a provision should be made for sale of only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direction human consumption. It was felt that by providing such option to the state governments, there would be no unnecessary compulsion to use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areas where iodine deficiency disorders were not prevalent. The Central Government also proposed to play a greater role in enhancing the awareness about the benefits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and monitor the impact of the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programmed in the country.</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4. The said omission of Rule 44H was challenged by 'Common Cause', an NGO, in Writ Petition (C) No. 525 of 2000 in this Court. During the pendency of W.P. (C) No. 525 of 2000, a Core Advisory Group on Public Health &amp; Human Rights, National Human Rights Commission was required to critically apprise the evidence available on the public health consequences arising from consumption of non-iodized salt by the populace. The said Core Advisory Group submitted a report dated 6.2.2004 advising that universal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is a public health need which should be implemented throughout the country without any relaxation in the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On a survey of 324 districts in 28 States and 7 Union Territories, 263 districts were found to be endemic for ID Ds, (that is, where prevalence of ID Ds was found in more than 10% of the population) and no state or Union Territory was free from ID Ds. It was also found that iodine deficiency caused a wide spectrum of disorders, ranging from </w:t>
      </w:r>
      <w:proofErr w:type="spellStart"/>
      <w:r w:rsidRPr="001B34B6">
        <w:rPr>
          <w:rFonts w:ascii="Arial" w:eastAsia="Times New Roman" w:hAnsi="Arial" w:cs="Arial"/>
          <w:sz w:val="20"/>
          <w:szCs w:val="20"/>
        </w:rPr>
        <w:t>Goitre</w:t>
      </w:r>
      <w:proofErr w:type="spellEnd"/>
      <w:r w:rsidRPr="001B34B6">
        <w:rPr>
          <w:rFonts w:ascii="Arial" w:eastAsia="Times New Roman" w:hAnsi="Arial" w:cs="Arial"/>
          <w:sz w:val="20"/>
          <w:szCs w:val="20"/>
        </w:rPr>
        <w:t xml:space="preserve"> to Cretinism, apart from causing disorders like stillbirth, abortion, dwarfism, eye-squint, mental retardation, lower IQ, deaf-</w:t>
      </w:r>
      <w:proofErr w:type="spellStart"/>
      <w:r w:rsidRPr="001B34B6">
        <w:rPr>
          <w:rFonts w:ascii="Arial" w:eastAsia="Times New Roman" w:hAnsi="Arial" w:cs="Arial"/>
          <w:sz w:val="20"/>
          <w:szCs w:val="20"/>
        </w:rPr>
        <w:t>mutism</w:t>
      </w:r>
      <w:proofErr w:type="spellEnd"/>
      <w:r w:rsidRPr="001B34B6">
        <w:rPr>
          <w:rFonts w:ascii="Arial" w:eastAsia="Times New Roman" w:hAnsi="Arial" w:cs="Arial"/>
          <w:sz w:val="20"/>
          <w:szCs w:val="20"/>
        </w:rPr>
        <w:t xml:space="preserve"> and </w:t>
      </w:r>
      <w:proofErr w:type="spellStart"/>
      <w:r w:rsidRPr="001B34B6">
        <w:rPr>
          <w:rFonts w:ascii="Arial" w:eastAsia="Times New Roman" w:hAnsi="Arial" w:cs="Arial"/>
          <w:sz w:val="20"/>
          <w:szCs w:val="20"/>
        </w:rPr>
        <w:t>neuromotor</w:t>
      </w:r>
      <w:proofErr w:type="spellEnd"/>
      <w:r w:rsidRPr="001B34B6">
        <w:rPr>
          <w:rFonts w:ascii="Arial" w:eastAsia="Times New Roman" w:hAnsi="Arial" w:cs="Arial"/>
          <w:sz w:val="20"/>
          <w:szCs w:val="20"/>
        </w:rPr>
        <w:t xml:space="preserve"> defects. It was found that the simplest and most effective and inexpensive method of preventing and controlling ID Ds was to make up the iodine deficiency by </w:t>
      </w:r>
      <w:proofErr w:type="spellStart"/>
      <w:r w:rsidRPr="001B34B6">
        <w:rPr>
          <w:rFonts w:ascii="Arial" w:eastAsia="Times New Roman" w:hAnsi="Arial" w:cs="Arial"/>
          <w:sz w:val="20"/>
          <w:szCs w:val="20"/>
        </w:rPr>
        <w:t>iodising</w:t>
      </w:r>
      <w:proofErr w:type="spellEnd"/>
      <w:r w:rsidRPr="001B34B6">
        <w:rPr>
          <w:rFonts w:ascii="Arial" w:eastAsia="Times New Roman" w:hAnsi="Arial" w:cs="Arial"/>
          <w:sz w:val="20"/>
          <w:szCs w:val="20"/>
        </w:rPr>
        <w:t xml:space="preserve"> the common salt to ensure that through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not less than 150 micro grams of iodine is made available to each person per day. In view of the said report, the Central Government again introduced a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common salt for human consumption by inserting Rule 44I, by way of amendment to the Rules, vide notification dated </w:t>
      </w:r>
      <w:r w:rsidRPr="001B34B6">
        <w:rPr>
          <w:rFonts w:ascii="Arial" w:eastAsia="Times New Roman" w:hAnsi="Arial" w:cs="Arial"/>
          <w:sz w:val="20"/>
          <w:szCs w:val="20"/>
        </w:rPr>
        <w:lastRenderedPageBreak/>
        <w:t xml:space="preserve">17.11.2005. On such re-introduction of the ban, WP [C] No. 525 of 2000 challenging the omission of Rule 44H was disposed of, as having become </w:t>
      </w:r>
      <w:proofErr w:type="spellStart"/>
      <w:r w:rsidRPr="001B34B6">
        <w:rPr>
          <w:rFonts w:ascii="Arial" w:eastAsia="Times New Roman" w:hAnsi="Arial" w:cs="Arial"/>
          <w:sz w:val="20"/>
          <w:szCs w:val="20"/>
        </w:rPr>
        <w:t>infructuous</w:t>
      </w:r>
      <w:proofErr w:type="spellEnd"/>
      <w:r w:rsidRPr="001B34B6">
        <w:rPr>
          <w:rFonts w:ascii="Arial" w:eastAsia="Times New Roman" w:hAnsi="Arial" w:cs="Arial"/>
          <w:sz w:val="20"/>
          <w:szCs w:val="20"/>
        </w:rPr>
        <w: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5. The Petitioners in these writ petitions are non-governmental </w:t>
      </w:r>
      <w:proofErr w:type="spellStart"/>
      <w:r w:rsidRPr="001B34B6">
        <w:rPr>
          <w:rFonts w:ascii="Arial" w:eastAsia="Times New Roman" w:hAnsi="Arial" w:cs="Arial"/>
          <w:sz w:val="20"/>
          <w:szCs w:val="20"/>
        </w:rPr>
        <w:t>organisations</w:t>
      </w:r>
      <w:proofErr w:type="spellEnd"/>
      <w:r w:rsidRPr="001B34B6">
        <w:rPr>
          <w:rFonts w:ascii="Arial" w:eastAsia="Times New Roman" w:hAnsi="Arial" w:cs="Arial"/>
          <w:sz w:val="20"/>
          <w:szCs w:val="20"/>
        </w:rPr>
        <w:t xml:space="preserve"> representing consumers, salt producers, medical experts, academics, etc. They oppose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for human consumption. According to them, goiter and other ID Ds occur not only in areas deficient in iodine but also in areas where (</w:t>
      </w:r>
      <w:proofErr w:type="spellStart"/>
      <w:r w:rsidRPr="001B34B6">
        <w:rPr>
          <w:rFonts w:ascii="Arial" w:eastAsia="Times New Roman" w:hAnsi="Arial" w:cs="Arial"/>
          <w:sz w:val="20"/>
          <w:szCs w:val="20"/>
        </w:rPr>
        <w:t>i</w:t>
      </w:r>
      <w:proofErr w:type="spellEnd"/>
      <w:r w:rsidRPr="001B34B6">
        <w:rPr>
          <w:rFonts w:ascii="Arial" w:eastAsia="Times New Roman" w:hAnsi="Arial" w:cs="Arial"/>
          <w:sz w:val="20"/>
          <w:szCs w:val="20"/>
        </w:rPr>
        <w:t>) water supply is contaminated, (ii) water is hard, (iii) poor hygiene prevails on account of poverty, (iv) foods contain iodine inhibitory (</w:t>
      </w:r>
      <w:proofErr w:type="spellStart"/>
      <w:r w:rsidRPr="001B34B6">
        <w:rPr>
          <w:rFonts w:ascii="Arial" w:eastAsia="Times New Roman" w:hAnsi="Arial" w:cs="Arial"/>
          <w:sz w:val="20"/>
          <w:szCs w:val="20"/>
        </w:rPr>
        <w:t>goitrogenic</w:t>
      </w:r>
      <w:proofErr w:type="spellEnd"/>
      <w:r w:rsidRPr="001B34B6">
        <w:rPr>
          <w:rFonts w:ascii="Arial" w:eastAsia="Times New Roman" w:hAnsi="Arial" w:cs="Arial"/>
          <w:sz w:val="20"/>
          <w:szCs w:val="20"/>
        </w:rPr>
        <w:t xml:space="preserve">) substances; (v) functioning of thyroid gland is improper; and (vi) consumption of processed and preserved food is excessive. According to them, even after two decades of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several areas, incidence of goiter had increased sharply. It is submitted that the international experience, particularly in western countries, is to move from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regime to voluntary need-based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regime, so that only those having iodine deficiency could use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It is submitted that when people who do not suffer from iodine deficiency are forced to take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regularly, there is risk of many of them developing complications induced by higher intake of iodine and increase in iodine levels. According to the Petitioners, constant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on account of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would lead to iodine-induced hyper-</w:t>
      </w:r>
      <w:proofErr w:type="spellStart"/>
      <w:r w:rsidRPr="001B34B6">
        <w:rPr>
          <w:rFonts w:ascii="Arial" w:eastAsia="Times New Roman" w:hAnsi="Arial" w:cs="Arial"/>
          <w:sz w:val="20"/>
          <w:szCs w:val="20"/>
        </w:rPr>
        <w:t>thyroidism</w:t>
      </w:r>
      <w:proofErr w:type="spellEnd"/>
      <w:r w:rsidRPr="001B34B6">
        <w:rPr>
          <w:rFonts w:ascii="Arial" w:eastAsia="Times New Roman" w:hAnsi="Arial" w:cs="Arial"/>
          <w:sz w:val="20"/>
          <w:szCs w:val="20"/>
        </w:rPr>
        <w:t xml:space="preserve"> with increased chances of death. It is contended that while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would help to make up the iodine deficiency in about 10% of the populace, it would adversely affect the health of remaining 90% of the populace who have no deficiency in iodine levels.</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5.1 The Petitioners submit that when the entire </w:t>
      </w:r>
      <w:proofErr w:type="gramStart"/>
      <w:r w:rsidRPr="001B34B6">
        <w:rPr>
          <w:rFonts w:ascii="Arial" w:eastAsia="Times New Roman" w:hAnsi="Arial" w:cs="Arial"/>
          <w:sz w:val="20"/>
          <w:szCs w:val="20"/>
        </w:rPr>
        <w:t>populace do</w:t>
      </w:r>
      <w:proofErr w:type="gramEnd"/>
      <w:r w:rsidRPr="001B34B6">
        <w:rPr>
          <w:rFonts w:ascii="Arial" w:eastAsia="Times New Roman" w:hAnsi="Arial" w:cs="Arial"/>
          <w:sz w:val="20"/>
          <w:szCs w:val="20"/>
        </w:rPr>
        <w:t xml:space="preserve"> not need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it is unfair and unjust to deny them the right to choose between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and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It is submitted that Rule 44I violates Articles14 and 21 of the Constitution, which entitle every person to have free choice in regard to consumption of food.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5.2 The Petitioners submit that the cost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being several times more than the cost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the majority of the populace were adversely affected by the rule requiring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It is contended that the compulsory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only helped a few multinational companies (MN Cs) which had the monopoly in the manufacture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It is submitted that many small scale and local producers of salt were adversely affected by creation of such monopoly. The Petitioners therefore contend that Rule 44I is </w:t>
      </w:r>
      <w:proofErr w:type="spellStart"/>
      <w:r w:rsidRPr="001B34B6">
        <w:rPr>
          <w:rFonts w:ascii="Arial" w:eastAsia="Times New Roman" w:hAnsi="Arial" w:cs="Arial"/>
          <w:sz w:val="20"/>
          <w:szCs w:val="20"/>
        </w:rPr>
        <w:t>violative</w:t>
      </w:r>
      <w:proofErr w:type="spellEnd"/>
      <w:r w:rsidRPr="001B34B6">
        <w:rPr>
          <w:rFonts w:ascii="Arial" w:eastAsia="Times New Roman" w:hAnsi="Arial" w:cs="Arial"/>
          <w:sz w:val="20"/>
          <w:szCs w:val="20"/>
        </w:rPr>
        <w:t xml:space="preserve"> of Article 19(1</w:t>
      </w:r>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g) of the Constitution, as it affects the fundamental right of small and medium scale manufacturers to carry on their business in salt.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5.3 It was lastly contended by the Petitioners that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was not injurious to public health and consequently, the provisions of the Act do not enable the Central Government to make a rule banning the sale of common salt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 The Petitioners submit that common salt is an unadulterated article used as an ingredient in food and Rule 44I imposing a ban on its sale for human consumption does not conform to, and is inconsistent with the object of the statute under which it is made.</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6. Respondent have resisted the petitions by referring to the circumstances (mentioned in </w:t>
      </w:r>
      <w:proofErr w:type="spellStart"/>
      <w:r w:rsidRPr="001B34B6">
        <w:rPr>
          <w:rFonts w:ascii="Arial" w:eastAsia="Times New Roman" w:hAnsi="Arial" w:cs="Arial"/>
          <w:sz w:val="20"/>
          <w:szCs w:val="20"/>
        </w:rPr>
        <w:t>para</w:t>
      </w:r>
      <w:proofErr w:type="spellEnd"/>
      <w:r w:rsidRPr="001B34B6">
        <w:rPr>
          <w:rFonts w:ascii="Arial" w:eastAsia="Times New Roman" w:hAnsi="Arial" w:cs="Arial"/>
          <w:sz w:val="20"/>
          <w:szCs w:val="20"/>
        </w:rPr>
        <w:t xml:space="preserve"> 4 above) which necessitated the insertion of Rule 44I by way of amendment to the Rules. It was contended that the ban on sale of common salt for human consumption was imposed in the interest of public health, and does not violate either Article 14 or 21 of the Constitution. It is submitted that ID Ds are caused by lack of iodine in diet; that majority of iodine deficiency disorders are permanent and incurable, but each one of them is completely preventable by ensuring a iodine supplementation of 100-150 </w:t>
      </w:r>
      <w:proofErr w:type="spellStart"/>
      <w:r w:rsidRPr="001B34B6">
        <w:rPr>
          <w:rFonts w:ascii="Arial" w:eastAsia="Times New Roman" w:hAnsi="Arial" w:cs="Arial"/>
          <w:sz w:val="20"/>
          <w:szCs w:val="20"/>
        </w:rPr>
        <w:t>ug</w:t>
      </w:r>
      <w:proofErr w:type="spellEnd"/>
      <w:r w:rsidRPr="001B34B6">
        <w:rPr>
          <w:rFonts w:ascii="Arial" w:eastAsia="Times New Roman" w:hAnsi="Arial" w:cs="Arial"/>
          <w:sz w:val="20"/>
          <w:szCs w:val="20"/>
        </w:rPr>
        <w:t xml:space="preserve"> (micrograms) of iodine per day and the simplest and most effective way of ensuring such </w:t>
      </w:r>
      <w:r w:rsidRPr="001B34B6">
        <w:rPr>
          <w:rFonts w:ascii="Arial" w:eastAsia="Times New Roman" w:hAnsi="Arial" w:cs="Arial"/>
          <w:sz w:val="20"/>
          <w:szCs w:val="20"/>
        </w:rPr>
        <w:lastRenderedPageBreak/>
        <w:t xml:space="preserve">iodine intake is through </w:t>
      </w:r>
      <w:proofErr w:type="spellStart"/>
      <w:r w:rsidRPr="001B34B6">
        <w:rPr>
          <w:rFonts w:ascii="Arial" w:eastAsia="Times New Roman" w:hAnsi="Arial" w:cs="Arial"/>
          <w:sz w:val="20"/>
          <w:szCs w:val="20"/>
        </w:rPr>
        <w:t>iodising</w:t>
      </w:r>
      <w:proofErr w:type="spellEnd"/>
      <w:r w:rsidRPr="001B34B6">
        <w:rPr>
          <w:rFonts w:ascii="Arial" w:eastAsia="Times New Roman" w:hAnsi="Arial" w:cs="Arial"/>
          <w:sz w:val="20"/>
          <w:szCs w:val="20"/>
        </w:rPr>
        <w:t xml:space="preserve"> the common salt used for human consumption; and that iodine, when taken in excess of what is required is easily excreted through urine and therefore consumption of iodated salt is safe for everyone. It is submitted that if the resistance to the ban was on account of small scale manufacturers of salt not being able to produce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an economically viable manner or compete with large scale manufacturers (multinational companies), appropriate steps would be taken by the central and state governments to enable them to produce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by using simple production techniques. It is stated that by 2006 </w:t>
      </w:r>
      <w:proofErr w:type="gramStart"/>
      <w:r w:rsidRPr="001B34B6">
        <w:rPr>
          <w:rFonts w:ascii="Arial" w:eastAsia="Times New Roman" w:hAnsi="Arial" w:cs="Arial"/>
          <w:sz w:val="20"/>
          <w:szCs w:val="20"/>
        </w:rPr>
        <w:t>itself</w:t>
      </w:r>
      <w:proofErr w:type="gramEnd"/>
      <w:r w:rsidRPr="001B34B6">
        <w:rPr>
          <w:rFonts w:ascii="Arial" w:eastAsia="Times New Roman" w:hAnsi="Arial" w:cs="Arial"/>
          <w:sz w:val="20"/>
          <w:szCs w:val="20"/>
        </w:rPr>
        <w:t xml:space="preserve"> more than 800 private units were licensed and more than 500 units have started production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Respondent contends that Rule 441 is neither inconsistent with the provisions of the Act nor beyond its rule making power. The power to make such a rule is traced to Section 7(iv), and Section 23(1) and 23(1A</w:t>
      </w:r>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f)of the Act.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7. Therefore, the following two questions arise for our consideration:</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spellStart"/>
      <w:r w:rsidRPr="001B34B6">
        <w:rPr>
          <w:rFonts w:ascii="Arial" w:eastAsia="Times New Roman" w:hAnsi="Arial" w:cs="Arial"/>
          <w:sz w:val="20"/>
          <w:szCs w:val="20"/>
        </w:rPr>
        <w:t>i</w:t>
      </w:r>
      <w:proofErr w:type="spellEnd"/>
      <w:r w:rsidRPr="001B34B6">
        <w:rPr>
          <w:rFonts w:ascii="Arial" w:eastAsia="Times New Roman" w:hAnsi="Arial" w:cs="Arial"/>
          <w:sz w:val="20"/>
          <w:szCs w:val="20"/>
        </w:rPr>
        <w:t>) Whether Rule 44I is unconstitutional?</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(ii) Whether Rule 44I is inconsistent with the Act and beyond the rule making power of the Central Government?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b/>
          <w:bCs/>
          <w:sz w:val="20"/>
          <w:szCs w:val="20"/>
        </w:rPr>
        <w:t>Re: Question (</w:t>
      </w:r>
      <w:proofErr w:type="spellStart"/>
      <w:r w:rsidRPr="001B34B6">
        <w:rPr>
          <w:rFonts w:ascii="Arial" w:eastAsia="Times New Roman" w:hAnsi="Arial" w:cs="Arial"/>
          <w:b/>
          <w:bCs/>
          <w:sz w:val="20"/>
          <w:szCs w:val="20"/>
        </w:rPr>
        <w:t>i</w:t>
      </w:r>
      <w:proofErr w:type="spellEnd"/>
      <w:r w:rsidRPr="001B34B6">
        <w:rPr>
          <w:rFonts w:ascii="Arial" w:eastAsia="Times New Roman" w:hAnsi="Arial" w:cs="Arial"/>
          <w:b/>
          <w:bCs/>
          <w:sz w:val="20"/>
          <w:szCs w:val="20"/>
        </w:rPr>
        <w: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8. The question whether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beneficial to the public or whether it causes harm to the majority of the populace, is a highly disputed and debated issue, on which there is strong divergence of opinion in the scientific community and among the experts on medicine, nutrition and public health. The Petitioners have produced some medical and scientific literature which according to them demonstrates that Universal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(for short 'USI') is not completely effective in attaining its object of elimination of Iodine Deficiency Disorders and at the same time injurious to the majority of populace who do not suffer from iodine deficiency. Respondent has countered the said claim by relying upon some material to show that compulsory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has shown marked results and is required in the interest of public health.</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i/>
          <w:iCs/>
          <w:sz w:val="20"/>
          <w:szCs w:val="20"/>
        </w:rPr>
        <w:t xml:space="preserve">Material against ban on non </w:t>
      </w:r>
      <w:proofErr w:type="spellStart"/>
      <w:r w:rsidRPr="001B34B6">
        <w:rPr>
          <w:rFonts w:ascii="Arial" w:eastAsia="Times New Roman" w:hAnsi="Arial" w:cs="Arial"/>
          <w:i/>
          <w:iCs/>
          <w:sz w:val="20"/>
          <w:szCs w:val="20"/>
        </w:rPr>
        <w:t>iodised</w:t>
      </w:r>
      <w:proofErr w:type="spellEnd"/>
      <w:r w:rsidRPr="001B34B6">
        <w:rPr>
          <w:rFonts w:ascii="Arial" w:eastAsia="Times New Roman" w:hAnsi="Arial" w:cs="Arial"/>
          <w:i/>
          <w:iCs/>
          <w:sz w:val="20"/>
          <w:szCs w:val="20"/>
        </w:rPr>
        <w:t xml:space="preserve"> salt for human consumption:</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9. Reliance was placed upon the resolution dated 29.12.1989 passed at a meeting of group of distinguished scientists and experts including Dr. B.D. </w:t>
      </w:r>
      <w:proofErr w:type="spellStart"/>
      <w:r w:rsidRPr="001B34B6">
        <w:rPr>
          <w:rFonts w:ascii="Arial" w:eastAsia="Times New Roman" w:hAnsi="Arial" w:cs="Arial"/>
          <w:sz w:val="20"/>
          <w:szCs w:val="20"/>
        </w:rPr>
        <w:t>Agarwal</w:t>
      </w:r>
      <w:proofErr w:type="spellEnd"/>
      <w:r w:rsidRPr="001B34B6">
        <w:rPr>
          <w:rFonts w:ascii="Arial" w:eastAsia="Times New Roman" w:hAnsi="Arial" w:cs="Arial"/>
          <w:sz w:val="20"/>
          <w:szCs w:val="20"/>
        </w:rPr>
        <w:t xml:space="preserve">, President, Indian Medical Association (NB) DBA, Dr. </w:t>
      </w:r>
      <w:proofErr w:type="spellStart"/>
      <w:r w:rsidRPr="001B34B6">
        <w:rPr>
          <w:rFonts w:ascii="Arial" w:eastAsia="Times New Roman" w:hAnsi="Arial" w:cs="Arial"/>
          <w:sz w:val="20"/>
          <w:szCs w:val="20"/>
        </w:rPr>
        <w:t>Ajai</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Lanjewar</w:t>
      </w:r>
      <w:proofErr w:type="spellEnd"/>
      <w:r w:rsidRPr="001B34B6">
        <w:rPr>
          <w:rFonts w:ascii="Arial" w:eastAsia="Times New Roman" w:hAnsi="Arial" w:cs="Arial"/>
          <w:sz w:val="20"/>
          <w:szCs w:val="20"/>
        </w:rPr>
        <w:t xml:space="preserve">, President, Academy of Medical Sciences; Dr. (Mrs.) </w:t>
      </w:r>
      <w:proofErr w:type="spellStart"/>
      <w:r w:rsidRPr="001B34B6">
        <w:rPr>
          <w:rFonts w:ascii="Arial" w:eastAsia="Times New Roman" w:hAnsi="Arial" w:cs="Arial"/>
          <w:sz w:val="20"/>
          <w:szCs w:val="20"/>
        </w:rPr>
        <w:t>Memuha</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Haque</w:t>
      </w:r>
      <w:proofErr w:type="spellEnd"/>
      <w:r w:rsidRPr="001B34B6">
        <w:rPr>
          <w:rFonts w:ascii="Arial" w:eastAsia="Times New Roman" w:hAnsi="Arial" w:cs="Arial"/>
          <w:sz w:val="20"/>
          <w:szCs w:val="20"/>
        </w:rPr>
        <w:t xml:space="preserve">, President, Nutrition Society of India, Dr. P.K. </w:t>
      </w:r>
      <w:proofErr w:type="spellStart"/>
      <w:r w:rsidRPr="001B34B6">
        <w:rPr>
          <w:rFonts w:ascii="Arial" w:eastAsia="Times New Roman" w:hAnsi="Arial" w:cs="Arial"/>
          <w:sz w:val="20"/>
          <w:szCs w:val="20"/>
        </w:rPr>
        <w:t>Sengupta</w:t>
      </w:r>
      <w:proofErr w:type="spellEnd"/>
      <w:r w:rsidRPr="001B34B6">
        <w:rPr>
          <w:rFonts w:ascii="Arial" w:eastAsia="Times New Roman" w:hAnsi="Arial" w:cs="Arial"/>
          <w:sz w:val="20"/>
          <w:szCs w:val="20"/>
        </w:rPr>
        <w:t>, Past President IMA, and several others. The relevant portions of the said resolution are extracted below:</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The available data about availability of iodine to the people from daily diet clearly indicates that it is more than adequate (Annual Report 1986-87, National Institute of Nutrition, I.C.M.R. Hyderabad, Page 4). Also common salt (Not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provides iodine up to 5 micrograms per grams of salt which </w:t>
      </w:r>
      <w:proofErr w:type="spellStart"/>
      <w:r w:rsidRPr="001B34B6">
        <w:rPr>
          <w:rFonts w:ascii="Arial" w:eastAsia="Times New Roman" w:hAnsi="Arial" w:cs="Arial"/>
          <w:sz w:val="20"/>
          <w:szCs w:val="20"/>
        </w:rPr>
        <w:t>it self</w:t>
      </w:r>
      <w:proofErr w:type="spellEnd"/>
      <w:r w:rsidRPr="001B34B6">
        <w:rPr>
          <w:rFonts w:ascii="Arial" w:eastAsia="Times New Roman" w:hAnsi="Arial" w:cs="Arial"/>
          <w:sz w:val="20"/>
          <w:szCs w:val="20"/>
        </w:rPr>
        <w:t xml:space="preserve"> is adequate to meet daily requirement of iodine of poor people involved in hard work (Salt Commissioner of India, Letter No. 11(4)/Goiter/89/6373 dated 18.10.89 and Analytical Report of the Iodine Content of Common Salt, Biochemistry Department, Nagpur University of PGTD/BC dated 9</w:t>
      </w:r>
      <w:r w:rsidRPr="001B34B6">
        <w:rPr>
          <w:rFonts w:ascii="Arial" w:eastAsia="Times New Roman" w:hAnsi="Arial" w:cs="Arial"/>
          <w:sz w:val="20"/>
          <w:szCs w:val="20"/>
          <w:vertAlign w:val="superscript"/>
        </w:rPr>
        <w:t>th</w:t>
      </w:r>
      <w:r w:rsidRPr="001B34B6">
        <w:rPr>
          <w:rFonts w:ascii="Arial" w:eastAsia="Times New Roman" w:hAnsi="Arial" w:cs="Arial"/>
          <w:sz w:val="20"/>
          <w:szCs w:val="20"/>
        </w:rPr>
        <w:t xml:space="preserve"> February, 1989 and Dr. M.S. </w:t>
      </w:r>
      <w:proofErr w:type="spellStart"/>
      <w:r w:rsidRPr="001B34B6">
        <w:rPr>
          <w:rFonts w:ascii="Arial" w:eastAsia="Times New Roman" w:hAnsi="Arial" w:cs="Arial"/>
          <w:sz w:val="20"/>
          <w:szCs w:val="20"/>
        </w:rPr>
        <w:t>Swaminathan</w:t>
      </w:r>
      <w:proofErr w:type="spellEnd"/>
      <w:r w:rsidRPr="001B34B6">
        <w:rPr>
          <w:rFonts w:ascii="Arial" w:eastAsia="Times New Roman" w:hAnsi="Arial" w:cs="Arial"/>
          <w:sz w:val="20"/>
          <w:szCs w:val="20"/>
        </w:rPr>
        <w:t>).</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As such it is concluded and resolved that there is no need of promoting of compulsion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all over the country. However, the medical profession can prescribe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or alike preparations for those who really need iodine for their good health.</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lastRenderedPageBreak/>
        <w:t xml:space="preserve">Available reports indicates regular excess intake of iodine or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injurious to the health of the people and more so for pregnant, neonatal conditions and over the age of 40 years. On the basis of these information's, use of radiographic dyes, antiseptic lotions and medication with high iodine content are prohibited for clinical use in pregnant mothers even in western countries.</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It is also known that people are sensitive to iodine and as such it is routine practice to carry out iodine sensitivity test before iodine is used for diagnostic or therapeutic purpose. It is noted that people suffering from </w:t>
      </w:r>
      <w:proofErr w:type="spellStart"/>
      <w:r w:rsidRPr="001B34B6">
        <w:rPr>
          <w:rFonts w:ascii="Arial" w:eastAsia="Times New Roman" w:hAnsi="Arial" w:cs="Arial"/>
          <w:sz w:val="20"/>
          <w:szCs w:val="20"/>
        </w:rPr>
        <w:t>asthama</w:t>
      </w:r>
      <w:proofErr w:type="spellEnd"/>
      <w:r w:rsidRPr="001B34B6">
        <w:rPr>
          <w:rFonts w:ascii="Arial" w:eastAsia="Times New Roman" w:hAnsi="Arial" w:cs="Arial"/>
          <w:sz w:val="20"/>
          <w:szCs w:val="20"/>
        </w:rPr>
        <w:t xml:space="preserve"> are very sensitive to iodine and as such may prove health hazard up to sudden death when universal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made (Preventive and control of Iodine Deficiency Disorders by Basil &amp; </w:t>
      </w:r>
      <w:proofErr w:type="spellStart"/>
      <w:r w:rsidRPr="001B34B6">
        <w:rPr>
          <w:rFonts w:ascii="Arial" w:eastAsia="Times New Roman" w:hAnsi="Arial" w:cs="Arial"/>
          <w:sz w:val="20"/>
          <w:szCs w:val="20"/>
        </w:rPr>
        <w:t>Hetzel</w:t>
      </w:r>
      <w:proofErr w:type="spellEnd"/>
      <w:r w:rsidRPr="001B34B6">
        <w:rPr>
          <w:rFonts w:ascii="Arial" w:eastAsia="Times New Roman" w:hAnsi="Arial" w:cs="Arial"/>
          <w:sz w:val="20"/>
          <w:szCs w:val="20"/>
        </w:rPr>
        <w:t xml:space="preserve">, United Nations Publication, March 1988 Page 76-77 and N. </w:t>
      </w:r>
      <w:proofErr w:type="spellStart"/>
      <w:r w:rsidRPr="001B34B6">
        <w:rPr>
          <w:rFonts w:ascii="Arial" w:eastAsia="Times New Roman" w:hAnsi="Arial" w:cs="Arial"/>
          <w:sz w:val="20"/>
          <w:szCs w:val="20"/>
        </w:rPr>
        <w:t>Kouchupillai</w:t>
      </w:r>
      <w:proofErr w:type="spellEnd"/>
      <w:r w:rsidRPr="001B34B6">
        <w:rPr>
          <w:rFonts w:ascii="Arial" w:eastAsia="Times New Roman" w:hAnsi="Arial" w:cs="Arial"/>
          <w:sz w:val="20"/>
          <w:szCs w:val="20"/>
        </w:rPr>
        <w:t xml:space="preserve"> &amp; M.M. </w:t>
      </w:r>
      <w:proofErr w:type="spellStart"/>
      <w:r w:rsidRPr="001B34B6">
        <w:rPr>
          <w:rFonts w:ascii="Arial" w:eastAsia="Times New Roman" w:hAnsi="Arial" w:cs="Arial"/>
          <w:sz w:val="20"/>
          <w:szCs w:val="20"/>
        </w:rPr>
        <w:t>Godbole</w:t>
      </w:r>
      <w:proofErr w:type="spellEnd"/>
      <w:r w:rsidRPr="001B34B6">
        <w:rPr>
          <w:rFonts w:ascii="Arial" w:eastAsia="Times New Roman" w:hAnsi="Arial" w:cs="Arial"/>
          <w:sz w:val="20"/>
          <w:szCs w:val="20"/>
        </w:rPr>
        <w:t>, N.F.I. bulletin October 1986 page 343).</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10. In an open letter dated 9.9.2005 addressed to the Minister for Health &amp; Family Welfare, Government of India, 235 eminent doctors and medical experts pointed out that adverse side-</w:t>
      </w:r>
      <w:proofErr w:type="spellStart"/>
      <w:r w:rsidRPr="001B34B6">
        <w:rPr>
          <w:rFonts w:ascii="Arial" w:eastAsia="Times New Roman" w:hAnsi="Arial" w:cs="Arial"/>
          <w:sz w:val="20"/>
          <w:szCs w:val="20"/>
        </w:rPr>
        <w:t>affects</w:t>
      </w:r>
      <w:proofErr w:type="spellEnd"/>
      <w:r w:rsidRPr="001B34B6">
        <w:rPr>
          <w:rFonts w:ascii="Arial" w:eastAsia="Times New Roman" w:hAnsi="Arial" w:cs="Arial"/>
          <w:sz w:val="20"/>
          <w:szCs w:val="20"/>
        </w:rPr>
        <w:t xml:space="preserve"> to a large number would outweigh benefits to a few and raised the following issues for the consideration of the Ministry:</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The studies available in the public domain provide only weak evidence in support of the universal ban.</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The prevalence and seriousness of the problem both appear to have been overestimated, especially given that some qualified analysts have pointed out methodological flaws. For instance, goiter is known to be difficult to assess, and it can exist as a physiological (normal) condition as well as a disease condition, but the studies do not account for this.</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 The studies assessing impact of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programmes</w:t>
      </w:r>
      <w:proofErr w:type="spellEnd"/>
      <w:r w:rsidRPr="001B34B6">
        <w:rPr>
          <w:rFonts w:ascii="Arial" w:eastAsia="Times New Roman" w:hAnsi="Arial" w:cs="Arial"/>
          <w:sz w:val="20"/>
          <w:szCs w:val="20"/>
        </w:rPr>
        <w:t xml:space="preserve"> appear to have assumed effectiveness of the programmed approach, even though findings of several studies demonstrate varying impact. Some studies show little impact despite high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such areas, thus pointing to the multifactor origin of IDD. In other areas goiter has declined despite little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 The potential negative consequence of compulsory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w:t>
      </w:r>
      <w:proofErr w:type="gramStart"/>
      <w:r w:rsidRPr="001B34B6">
        <w:rPr>
          <w:rFonts w:ascii="Arial" w:eastAsia="Times New Roman" w:hAnsi="Arial" w:cs="Arial"/>
          <w:sz w:val="20"/>
          <w:szCs w:val="20"/>
        </w:rPr>
        <w:t>have</w:t>
      </w:r>
      <w:proofErr w:type="gramEnd"/>
      <w:r w:rsidRPr="001B34B6">
        <w:rPr>
          <w:rFonts w:ascii="Arial" w:eastAsia="Times New Roman" w:hAnsi="Arial" w:cs="Arial"/>
          <w:sz w:val="20"/>
          <w:szCs w:val="20"/>
        </w:rPr>
        <w:t xml:space="preserve"> been demonstrated by other studies, gaining importance when applied on a mass scale.</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In some locations and sub-populations, iodine deficiency disorders (IDD) do constitute a public health problem. Local measures to deal with the problem are known, for instance, subsidizing the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so that it becomes available at lower prices than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promoting small-scale production in the endemic pockets and encouraging its use there. Therefore, there is no rationale for instituting a universal ban on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11. Reliance was placed on the following passage from Text Book of Medical Physiology (By Author C. Guyton &amp; John E. Hall - 1996 Edition):</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lastRenderedPageBreak/>
        <w:t>Because iodides in high concentrations decrease all phases of thyroid activity, they slightly decrease the size of the thyroid gland and especially decrease its blood supply, in contradistinction to the oppose effects caused by most of the other anti-thyroid agents.</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The following observations from the Article "Common Salt v.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(by Dr. PVR </w:t>
      </w:r>
      <w:proofErr w:type="spellStart"/>
      <w:r w:rsidRPr="001B34B6">
        <w:rPr>
          <w:rFonts w:ascii="Arial" w:eastAsia="Times New Roman" w:hAnsi="Arial" w:cs="Arial"/>
          <w:sz w:val="20"/>
          <w:szCs w:val="20"/>
        </w:rPr>
        <w:t>Bhaskar</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Rao</w:t>
      </w:r>
      <w:proofErr w:type="spellEnd"/>
      <w:r w:rsidRPr="001B34B6">
        <w:rPr>
          <w:rFonts w:ascii="Arial" w:eastAsia="Times New Roman" w:hAnsi="Arial" w:cs="Arial"/>
          <w:sz w:val="20"/>
          <w:szCs w:val="20"/>
        </w:rPr>
        <w:t>, Chairman, People for Economical and Effective Medicare) are also relied on:</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The advice for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without correction of total nutritional deficiency is unscientific and results in waste of money. If iodine is consumed in the form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the aim is to see that the iodine gets converted into thyroid hormone, there should be sufficient amounts of the essential amino acid tyrosine (protein) and the enzyme </w:t>
      </w:r>
      <w:proofErr w:type="spellStart"/>
      <w:r w:rsidRPr="001B34B6">
        <w:rPr>
          <w:rFonts w:ascii="Arial" w:eastAsia="Times New Roman" w:hAnsi="Arial" w:cs="Arial"/>
          <w:sz w:val="20"/>
          <w:szCs w:val="20"/>
        </w:rPr>
        <w:t>peroxidise</w:t>
      </w:r>
      <w:proofErr w:type="spellEnd"/>
      <w:r w:rsidRPr="001B34B6">
        <w:rPr>
          <w:rFonts w:ascii="Arial" w:eastAsia="Times New Roman" w:hAnsi="Arial" w:cs="Arial"/>
          <w:sz w:val="20"/>
          <w:szCs w:val="20"/>
        </w:rPr>
        <w:t xml:space="preserve"> for the manufacture of which sufficient quantities of iron in the body are necessary. It means that if there is protein deficiency or iron deficiency or both, whatever iodine is given to an individual in any form it would be completely excreted in the urine. Therefore, it is utterly futile to advice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without correcting total nutrition deficiency including anemia. It is </w:t>
      </w:r>
      <w:proofErr w:type="spellStart"/>
      <w:r w:rsidRPr="001B34B6">
        <w:rPr>
          <w:rFonts w:ascii="Arial" w:eastAsia="Times New Roman" w:hAnsi="Arial" w:cs="Arial"/>
          <w:sz w:val="20"/>
          <w:szCs w:val="20"/>
        </w:rPr>
        <w:t>worth while</w:t>
      </w:r>
      <w:proofErr w:type="spellEnd"/>
      <w:r w:rsidRPr="001B34B6">
        <w:rPr>
          <w:rFonts w:ascii="Arial" w:eastAsia="Times New Roman" w:hAnsi="Arial" w:cs="Arial"/>
          <w:sz w:val="20"/>
          <w:szCs w:val="20"/>
        </w:rPr>
        <w:t xml:space="preserve"> to note that even in urban population 60% are anemia and in rural population it would be around 80% with this degree of anemia iodine deficiency cannot be corrected by any means if anemia is not corrected.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Conclusion:</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(c) By addition of potassium </w:t>
      </w:r>
      <w:proofErr w:type="spellStart"/>
      <w:r w:rsidRPr="001B34B6">
        <w:rPr>
          <w:rFonts w:ascii="Arial" w:eastAsia="Times New Roman" w:hAnsi="Arial" w:cs="Arial"/>
          <w:sz w:val="20"/>
          <w:szCs w:val="20"/>
        </w:rPr>
        <w:t>iodate</w:t>
      </w:r>
      <w:proofErr w:type="spellEnd"/>
      <w:r w:rsidRPr="001B34B6">
        <w:rPr>
          <w:rFonts w:ascii="Arial" w:eastAsia="Times New Roman" w:hAnsi="Arial" w:cs="Arial"/>
          <w:sz w:val="20"/>
          <w:szCs w:val="20"/>
        </w:rPr>
        <w:t xml:space="preserve"> which may be harmful to </w:t>
      </w:r>
      <w:proofErr w:type="gramStart"/>
      <w:r w:rsidRPr="001B34B6">
        <w:rPr>
          <w:rFonts w:ascii="Arial" w:eastAsia="Times New Roman" w:hAnsi="Arial" w:cs="Arial"/>
          <w:sz w:val="20"/>
          <w:szCs w:val="20"/>
        </w:rPr>
        <w:t>some,</w:t>
      </w:r>
      <w:proofErr w:type="gram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the adulterated salt.</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(d)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known to cause hyperthyroidism and also severe allergic reactions to some and its universal consumption leads to health hazards.</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(e) Without correcting iron and protein deficiencies, advising people to consume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amounts to putting cart before the horse.</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(f) People who are deficient in </w:t>
      </w:r>
      <w:proofErr w:type="gramStart"/>
      <w:r w:rsidRPr="001B34B6">
        <w:rPr>
          <w:rFonts w:ascii="Arial" w:eastAsia="Times New Roman" w:hAnsi="Arial" w:cs="Arial"/>
          <w:sz w:val="20"/>
          <w:szCs w:val="20"/>
        </w:rPr>
        <w:t>iodine,</w:t>
      </w:r>
      <w:proofErr w:type="gramEnd"/>
      <w:r w:rsidRPr="001B34B6">
        <w:rPr>
          <w:rFonts w:ascii="Arial" w:eastAsia="Times New Roman" w:hAnsi="Arial" w:cs="Arial"/>
          <w:sz w:val="20"/>
          <w:szCs w:val="20"/>
        </w:rPr>
        <w:t xml:space="preserve"> are deficient in all nutrients. For them total nutrition correction and not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the answer.</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i/>
          <w:iCs/>
          <w:sz w:val="20"/>
          <w:szCs w:val="20"/>
        </w:rPr>
        <w:t xml:space="preserve">Material in support of the compulsory use of </w:t>
      </w:r>
      <w:proofErr w:type="spellStart"/>
      <w:r w:rsidRPr="001B34B6">
        <w:rPr>
          <w:rFonts w:ascii="Arial" w:eastAsia="Times New Roman" w:hAnsi="Arial" w:cs="Arial"/>
          <w:i/>
          <w:iCs/>
          <w:sz w:val="20"/>
          <w:szCs w:val="20"/>
        </w:rPr>
        <w:t>iodised</w:t>
      </w:r>
      <w:proofErr w:type="spellEnd"/>
      <w:r w:rsidRPr="001B34B6">
        <w:rPr>
          <w:rFonts w:ascii="Arial" w:eastAsia="Times New Roman" w:hAnsi="Arial" w:cs="Arial"/>
          <w:i/>
          <w:iCs/>
          <w:sz w:val="20"/>
          <w:szCs w:val="20"/>
        </w:rPr>
        <w:t xml:space="preserve"> salt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12. On the other hand the Respondent submitted that the decision to ban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 was taken on detailed studies and on the advice of the Core Advisory Group on Public Health and Human Rights (NHRC). Reliance is placed on the following passages from the report dated 6.2.2004 of the Core Advisory Group:</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The Core Advisory Group reviewed the documents which were sent to it by the NHRC and the members also drew upon their expertise and several scientific publications, to critically appraise the evidence available on the public health consequences arising from consumption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by sections of our population.</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Iodine deficiency disorders have been recognized as a public health problem in India since the 1920s. Unlike other micronutrient deficiencies, iodine deficiency disorders are due to deficiency of iodine in water, soil and foodstuff's and affect all socio-economic groups living in defined geographic areas. Initially, Iodine deficiency disorders were thought to be a problem in </w:t>
      </w:r>
      <w:r w:rsidRPr="001B34B6">
        <w:rPr>
          <w:rFonts w:ascii="Arial" w:eastAsia="Times New Roman" w:hAnsi="Arial" w:cs="Arial"/>
          <w:sz w:val="20"/>
          <w:szCs w:val="20"/>
        </w:rPr>
        <w:lastRenderedPageBreak/>
        <w:t xml:space="preserve">sub-Himalayan region. However, surveys carried out subsequently showed that iodine deficiency disorders exist even in </w:t>
      </w:r>
      <w:proofErr w:type="spellStart"/>
      <w:r w:rsidRPr="001B34B6">
        <w:rPr>
          <w:rFonts w:ascii="Arial" w:eastAsia="Times New Roman" w:hAnsi="Arial" w:cs="Arial"/>
          <w:sz w:val="20"/>
          <w:szCs w:val="20"/>
        </w:rPr>
        <w:t>riverine</w:t>
      </w:r>
      <w:proofErr w:type="spellEnd"/>
      <w:r w:rsidRPr="001B34B6">
        <w:rPr>
          <w:rFonts w:ascii="Arial" w:eastAsia="Times New Roman" w:hAnsi="Arial" w:cs="Arial"/>
          <w:sz w:val="20"/>
          <w:szCs w:val="20"/>
        </w:rPr>
        <w:t xml:space="preserve"> and coastal areas. No State in India is completely free from iodine deficiency disorders. Universal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a simple, inexpensive method of preventing iodine deficiency disorders.</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proofErr w:type="gramStart"/>
      <w:r w:rsidRPr="001B34B6">
        <w:rPr>
          <w:rFonts w:ascii="Arial" w:eastAsia="Times New Roman" w:hAnsi="Arial" w:cs="Arial"/>
          <w:sz w:val="20"/>
          <w:szCs w:val="20"/>
        </w:rPr>
        <w:t>xxx</w:t>
      </w:r>
      <w:proofErr w:type="gramEnd"/>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The Tenth Five Year Plan has recommended that it is essential to ensure that only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made available for human consumption in order to enable the children of the 21</w:t>
      </w:r>
      <w:r w:rsidRPr="001B34B6">
        <w:rPr>
          <w:rFonts w:ascii="Arial" w:eastAsia="Times New Roman" w:hAnsi="Arial" w:cs="Arial"/>
          <w:sz w:val="20"/>
          <w:szCs w:val="20"/>
          <w:vertAlign w:val="superscript"/>
        </w:rPr>
        <w:t>st</w:t>
      </w:r>
      <w:r w:rsidRPr="001B34B6">
        <w:rPr>
          <w:rFonts w:ascii="Arial" w:eastAsia="Times New Roman" w:hAnsi="Arial" w:cs="Arial"/>
          <w:sz w:val="20"/>
          <w:szCs w:val="20"/>
        </w:rPr>
        <w:t> century to attain their full intellectual potential and take their rightful place in a knowledge based-society.</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proofErr w:type="gramStart"/>
      <w:r w:rsidRPr="001B34B6">
        <w:rPr>
          <w:rFonts w:ascii="Arial" w:eastAsia="Times New Roman" w:hAnsi="Arial" w:cs="Arial"/>
          <w:sz w:val="20"/>
          <w:szCs w:val="20"/>
        </w:rPr>
        <w:t>xxx</w:t>
      </w:r>
      <w:proofErr w:type="gramEnd"/>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The plea that there should not be any ban on the sale of non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and that the people should be allowed to make an informed choice between use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and non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is not tenable. An apparently normal mother in a family with no over signs of iodine deficiency disorders (IDD) can deliver a child with cretinism. In view of this there is a need to ensure universal access only to good quality powdered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The Core Advisory Group was of the opinion that universal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is a public health need which should be met, without any relaxation in the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If part of the opposition to a ban on the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arises from the apprehensions of small-scale manufacturers of salt that they would be unable to produce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in an economically viable manner and compete with large commercial manufacturers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appropriate steps may be taken by relevant government agencies to enable them to produce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close to the sites of salt extraction, using simple production techniques.</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13. Support for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for human consumption is also found in the opinion of several experts. We may refer to some of them. The World Health </w:t>
      </w:r>
      <w:proofErr w:type="spellStart"/>
      <w:r w:rsidRPr="001B34B6">
        <w:rPr>
          <w:rFonts w:ascii="Arial" w:eastAsia="Times New Roman" w:hAnsi="Arial" w:cs="Arial"/>
          <w:sz w:val="20"/>
          <w:szCs w:val="20"/>
        </w:rPr>
        <w:t>Organisation</w:t>
      </w:r>
      <w:proofErr w:type="spellEnd"/>
      <w:r w:rsidRPr="001B34B6">
        <w:rPr>
          <w:rFonts w:ascii="Arial" w:eastAsia="Times New Roman" w:hAnsi="Arial" w:cs="Arial"/>
          <w:sz w:val="20"/>
          <w:szCs w:val="20"/>
        </w:rPr>
        <w:t>, in its publication on </w:t>
      </w:r>
      <w:r w:rsidRPr="001B34B6">
        <w:rPr>
          <w:rFonts w:ascii="Arial" w:eastAsia="Times New Roman" w:hAnsi="Arial" w:cs="Arial"/>
          <w:b/>
          <w:bCs/>
          <w:sz w:val="20"/>
          <w:szCs w:val="20"/>
        </w:rPr>
        <w:t>Vitamin and Mineral Requirements in Human Nutrition</w:t>
      </w:r>
      <w:r w:rsidRPr="001B34B6">
        <w:rPr>
          <w:rFonts w:ascii="Arial" w:eastAsia="Times New Roman" w:hAnsi="Arial" w:cs="Arial"/>
          <w:sz w:val="20"/>
          <w:szCs w:val="20"/>
        </w:rPr>
        <w:t> 2004 Edition, p.314 states: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Excess iodine intake in healthy adults in iodine </w:t>
      </w:r>
      <w:proofErr w:type="gramStart"/>
      <w:r w:rsidRPr="001B34B6">
        <w:rPr>
          <w:rFonts w:ascii="Arial" w:eastAsia="Times New Roman" w:hAnsi="Arial" w:cs="Arial"/>
          <w:sz w:val="20"/>
          <w:szCs w:val="20"/>
        </w:rPr>
        <w:t>replete</w:t>
      </w:r>
      <w:proofErr w:type="gramEnd"/>
      <w:r w:rsidRPr="001B34B6">
        <w:rPr>
          <w:rFonts w:ascii="Arial" w:eastAsia="Times New Roman" w:hAnsi="Arial" w:cs="Arial"/>
          <w:sz w:val="20"/>
          <w:szCs w:val="20"/>
        </w:rPr>
        <w:t xml:space="preserve"> areas is difficult to define. Many people are regularly exposed to huge amounts of iodine- in the range of 10-200 mg/daily - without apparent adverse effects....This tolerance to huge doses of iodine in healthy iodine-replete adults is the reason why WHO stated in 1994 that, "Daily iodine intake of up to 1 mg i.e. 1000 </w:t>
      </w:r>
      <w:proofErr w:type="spellStart"/>
      <w:r w:rsidRPr="001B34B6">
        <w:rPr>
          <w:rFonts w:ascii="Arial" w:eastAsia="Times New Roman" w:hAnsi="Arial" w:cs="Arial"/>
          <w:sz w:val="20"/>
          <w:szCs w:val="20"/>
        </w:rPr>
        <w:t>ug</w:t>
      </w:r>
      <w:proofErr w:type="spellEnd"/>
      <w:r w:rsidRPr="001B34B6">
        <w:rPr>
          <w:rFonts w:ascii="Arial" w:eastAsia="Times New Roman" w:hAnsi="Arial" w:cs="Arial"/>
          <w:sz w:val="20"/>
          <w:szCs w:val="20"/>
        </w:rPr>
        <w:t xml:space="preserve"> appears to be entirely safe....In conclusion, it appears clearly that the </w:t>
      </w:r>
      <w:r w:rsidRPr="001B34B6">
        <w:rPr>
          <w:rFonts w:ascii="Arial" w:eastAsia="Times New Roman" w:hAnsi="Arial" w:cs="Arial"/>
          <w:b/>
          <w:bCs/>
          <w:sz w:val="20"/>
          <w:szCs w:val="20"/>
        </w:rPr>
        <w:t>benefits of correcting iodine deficiency far outweigh the risks of iodine supplementation.</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Report of a WHO Expert Consultation: "</w:t>
      </w:r>
      <w:r w:rsidRPr="001B34B6">
        <w:rPr>
          <w:rFonts w:ascii="Arial" w:eastAsia="Times New Roman" w:hAnsi="Arial" w:cs="Arial"/>
          <w:b/>
          <w:bCs/>
          <w:sz w:val="20"/>
          <w:szCs w:val="20"/>
        </w:rPr>
        <w:t>Salt as a Vehicle for Fortification</w:t>
      </w:r>
      <w:r w:rsidRPr="001B34B6">
        <w:rPr>
          <w:rFonts w:ascii="Arial" w:eastAsia="Times New Roman" w:hAnsi="Arial" w:cs="Arial"/>
          <w:sz w:val="20"/>
          <w:szCs w:val="20"/>
        </w:rPr>
        <w:t>" (2007), at p. 7 states: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Salt is the most widely used food vehicle for iodine fortification. USI, that is iodization of all salt for human (food industry and household) and livestock consumption, is the strategy recommended by </w:t>
      </w:r>
      <w:proofErr w:type="gramStart"/>
      <w:r w:rsidRPr="001B34B6">
        <w:rPr>
          <w:rFonts w:ascii="Arial" w:eastAsia="Times New Roman" w:hAnsi="Arial" w:cs="Arial"/>
          <w:sz w:val="20"/>
          <w:szCs w:val="20"/>
        </w:rPr>
        <w:t>WHO</w:t>
      </w:r>
      <w:proofErr w:type="gramEnd"/>
      <w:r w:rsidRPr="001B34B6">
        <w:rPr>
          <w:rFonts w:ascii="Arial" w:eastAsia="Times New Roman" w:hAnsi="Arial" w:cs="Arial"/>
          <w:sz w:val="20"/>
          <w:szCs w:val="20"/>
        </w:rPr>
        <w:t xml:space="preserve"> for the control of iodine deficiency (WHO, 1999). Salt iodization </w:t>
      </w:r>
      <w:proofErr w:type="spellStart"/>
      <w:r w:rsidRPr="001B34B6">
        <w:rPr>
          <w:rFonts w:ascii="Arial" w:eastAsia="Times New Roman" w:hAnsi="Arial" w:cs="Arial"/>
          <w:sz w:val="20"/>
          <w:szCs w:val="20"/>
        </w:rPr>
        <w:t>programmes</w:t>
      </w:r>
      <w:proofErr w:type="spellEnd"/>
      <w:r w:rsidRPr="001B34B6">
        <w:rPr>
          <w:rFonts w:ascii="Arial" w:eastAsia="Times New Roman" w:hAnsi="Arial" w:cs="Arial"/>
          <w:sz w:val="20"/>
          <w:szCs w:val="20"/>
        </w:rPr>
        <w:t xml:space="preserve"> are currently implemented in over 70 countries around the world where IDD is a public health problem (</w:t>
      </w:r>
      <w:proofErr w:type="spellStart"/>
      <w:r w:rsidRPr="001B34B6">
        <w:rPr>
          <w:rFonts w:ascii="Arial" w:eastAsia="Times New Roman" w:hAnsi="Arial" w:cs="Arial"/>
          <w:sz w:val="20"/>
          <w:szCs w:val="20"/>
        </w:rPr>
        <w:t>Delange</w:t>
      </w:r>
      <w:proofErr w:type="spellEnd"/>
      <w:r w:rsidRPr="001B34B6">
        <w:rPr>
          <w:rFonts w:ascii="Arial" w:eastAsia="Times New Roman" w:hAnsi="Arial" w:cs="Arial"/>
          <w:sz w:val="20"/>
          <w:szCs w:val="20"/>
        </w:rPr>
        <w:t xml:space="preserve"> F, et al, 1999).</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Lewis E </w:t>
      </w:r>
      <w:proofErr w:type="spellStart"/>
      <w:r w:rsidRPr="001B34B6">
        <w:rPr>
          <w:rFonts w:ascii="Arial" w:eastAsia="Times New Roman" w:hAnsi="Arial" w:cs="Arial"/>
          <w:sz w:val="20"/>
          <w:szCs w:val="20"/>
        </w:rPr>
        <w:t>Braverman</w:t>
      </w:r>
      <w:proofErr w:type="spellEnd"/>
      <w:r w:rsidRPr="001B34B6">
        <w:rPr>
          <w:rFonts w:ascii="Arial" w:eastAsia="Times New Roman" w:hAnsi="Arial" w:cs="Arial"/>
          <w:sz w:val="20"/>
          <w:szCs w:val="20"/>
        </w:rPr>
        <w:t xml:space="preserve"> in his article </w:t>
      </w:r>
      <w:proofErr w:type="gramStart"/>
      <w:r w:rsidRPr="001B34B6">
        <w:rPr>
          <w:rFonts w:ascii="Arial" w:eastAsia="Times New Roman" w:hAnsi="Arial" w:cs="Arial"/>
          <w:b/>
          <w:bCs/>
          <w:sz w:val="20"/>
          <w:szCs w:val="20"/>
        </w:rPr>
        <w:t>Adequate</w:t>
      </w:r>
      <w:proofErr w:type="gramEnd"/>
      <w:r w:rsidRPr="001B34B6">
        <w:rPr>
          <w:rFonts w:ascii="Arial" w:eastAsia="Times New Roman" w:hAnsi="Arial" w:cs="Arial"/>
          <w:b/>
          <w:bCs/>
          <w:sz w:val="20"/>
          <w:szCs w:val="20"/>
        </w:rPr>
        <w:t xml:space="preserve"> iodine intake - the good far outweighs the bad</w:t>
      </w:r>
      <w:r w:rsidRPr="001B34B6">
        <w:rPr>
          <w:rFonts w:ascii="Arial" w:eastAsia="Times New Roman" w:hAnsi="Arial" w:cs="Arial"/>
          <w:sz w:val="20"/>
          <w:szCs w:val="20"/>
        </w:rPr>
        <w:t> European Journal of Endocrinology, 1998, Vol. 139 pages 14-15 says: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Over the past few years, small outbreaks of </w:t>
      </w:r>
      <w:proofErr w:type="spellStart"/>
      <w:r w:rsidRPr="001B34B6">
        <w:rPr>
          <w:rFonts w:ascii="Arial" w:eastAsia="Times New Roman" w:hAnsi="Arial" w:cs="Arial"/>
          <w:sz w:val="20"/>
          <w:szCs w:val="20"/>
        </w:rPr>
        <w:t>thyrotoxicosis</w:t>
      </w:r>
      <w:proofErr w:type="spellEnd"/>
      <w:r w:rsidRPr="001B34B6">
        <w:rPr>
          <w:rFonts w:ascii="Arial" w:eastAsia="Times New Roman" w:hAnsi="Arial" w:cs="Arial"/>
          <w:sz w:val="20"/>
          <w:szCs w:val="20"/>
        </w:rPr>
        <w:t xml:space="preserve"> in adults have been reported following iodine prophylaxis with iodized oil or iodized salt in severely iodine-deficient regions, probably due to excess iodination of these severely iodine-deficient populations (3-6). However, </w:t>
      </w:r>
      <w:r w:rsidRPr="001B34B6">
        <w:rPr>
          <w:rFonts w:ascii="Arial" w:eastAsia="Times New Roman" w:hAnsi="Arial" w:cs="Arial"/>
          <w:b/>
          <w:bCs/>
          <w:sz w:val="20"/>
          <w:szCs w:val="20"/>
        </w:rPr>
        <w:t xml:space="preserve">it must be emphasized that the </w:t>
      </w:r>
      <w:r w:rsidRPr="001B34B6">
        <w:rPr>
          <w:rFonts w:ascii="Arial" w:eastAsia="Times New Roman" w:hAnsi="Arial" w:cs="Arial"/>
          <w:b/>
          <w:bCs/>
          <w:sz w:val="20"/>
          <w:szCs w:val="20"/>
        </w:rPr>
        <w:lastRenderedPageBreak/>
        <w:t>eradication of iodine deficiency far outweighs this minor risk, which is almost always self-limited and disappears over many years as the iodine-deficient population achieves iodine repletion.</w:t>
      </w:r>
      <w:r w:rsidRPr="001B34B6">
        <w:rPr>
          <w:rFonts w:ascii="Arial" w:eastAsia="Times New Roman" w:hAnsi="Arial" w:cs="Arial"/>
          <w:sz w:val="20"/>
          <w:szCs w:val="20"/>
        </w:rPr>
        <w:t> Prevention of iodine-deficiency goiter, mental and growth retardation, poor productivity, and cretinism must be achieved through joint efforts of international, national, and local agencies.</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proofErr w:type="spellStart"/>
      <w:r w:rsidRPr="001B34B6">
        <w:rPr>
          <w:rFonts w:ascii="Arial" w:eastAsia="Times New Roman" w:hAnsi="Arial" w:cs="Arial"/>
          <w:sz w:val="20"/>
          <w:szCs w:val="20"/>
        </w:rPr>
        <w:t>Rajan</w:t>
      </w:r>
      <w:proofErr w:type="spellEnd"/>
      <w:r w:rsidRPr="001B34B6">
        <w:rPr>
          <w:rFonts w:ascii="Arial" w:eastAsia="Times New Roman" w:hAnsi="Arial" w:cs="Arial"/>
          <w:sz w:val="20"/>
          <w:szCs w:val="20"/>
        </w:rPr>
        <w:t xml:space="preserve"> Shankar and C.S. </w:t>
      </w:r>
      <w:proofErr w:type="spellStart"/>
      <w:r w:rsidRPr="001B34B6">
        <w:rPr>
          <w:rFonts w:ascii="Arial" w:eastAsia="Times New Roman" w:hAnsi="Arial" w:cs="Arial"/>
          <w:sz w:val="20"/>
          <w:szCs w:val="20"/>
        </w:rPr>
        <w:t>Pandav</w:t>
      </w:r>
      <w:proofErr w:type="spellEnd"/>
      <w:r w:rsidRPr="001B34B6">
        <w:rPr>
          <w:rFonts w:ascii="Arial" w:eastAsia="Times New Roman" w:hAnsi="Arial" w:cs="Arial"/>
          <w:sz w:val="20"/>
          <w:szCs w:val="20"/>
        </w:rPr>
        <w:t>, in </w:t>
      </w:r>
      <w:r w:rsidRPr="001B34B6">
        <w:rPr>
          <w:rFonts w:ascii="Arial" w:eastAsia="Times New Roman" w:hAnsi="Arial" w:cs="Arial"/>
          <w:b/>
          <w:bCs/>
          <w:sz w:val="20"/>
          <w:szCs w:val="20"/>
        </w:rPr>
        <w:t>Ban on Sale of Non-iodized Salt for Human Consumption: A step in the right direction</w:t>
      </w:r>
      <w:r w:rsidRPr="001B34B6">
        <w:rPr>
          <w:rFonts w:ascii="Arial" w:eastAsia="Times New Roman" w:hAnsi="Arial" w:cs="Arial"/>
          <w:sz w:val="20"/>
          <w:szCs w:val="20"/>
        </w:rPr>
        <w:t> (The National Medical Journal of India, Vol. 18, No. 4, 2005 p. 169 at p.170) state:</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Why is there a need for legislation and compulsory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Can people have a choice? There are situations in which, in the absence of proper education, 'the freedom to choose' may not offer the right choice and salt iodization is one of them. Individuals often need to be convinced to make good choices when the benefits are preventive in nature....</w:t>
      </w:r>
      <w:r w:rsidRPr="001B34B6">
        <w:rPr>
          <w:rFonts w:ascii="Arial" w:eastAsia="Times New Roman" w:hAnsi="Arial" w:cs="Arial"/>
          <w:b/>
          <w:bCs/>
          <w:sz w:val="20"/>
          <w:szCs w:val="20"/>
        </w:rPr>
        <w:t xml:space="preserve">Public health experts who see iodine deficiency as a critical problem should lead the fight against the </w:t>
      </w:r>
      <w:proofErr w:type="spellStart"/>
      <w:r w:rsidRPr="001B34B6">
        <w:rPr>
          <w:rFonts w:ascii="Arial" w:eastAsia="Times New Roman" w:hAnsi="Arial" w:cs="Arial"/>
          <w:b/>
          <w:bCs/>
          <w:sz w:val="20"/>
          <w:szCs w:val="20"/>
        </w:rPr>
        <w:t>idelogical</w:t>
      </w:r>
      <w:proofErr w:type="spellEnd"/>
      <w:r w:rsidRPr="001B34B6">
        <w:rPr>
          <w:rFonts w:ascii="Arial" w:eastAsia="Times New Roman" w:hAnsi="Arial" w:cs="Arial"/>
          <w:b/>
          <w:bCs/>
          <w:sz w:val="20"/>
          <w:szCs w:val="20"/>
        </w:rPr>
        <w:t xml:space="preserve"> arguments tilted in the direction of doing nothing.</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r w:rsidRPr="001B34B6">
        <w:rPr>
          <w:rFonts w:ascii="Arial" w:eastAsia="Times New Roman" w:hAnsi="Arial" w:cs="Arial"/>
          <w:b/>
          <w:bCs/>
          <w:sz w:val="20"/>
          <w:szCs w:val="20"/>
        </w:rPr>
        <w:t>Modern Nutrition in Health and Development</w:t>
      </w:r>
      <w:r w:rsidRPr="001B34B6">
        <w:rPr>
          <w:rFonts w:ascii="Arial" w:eastAsia="Times New Roman" w:hAnsi="Arial" w:cs="Arial"/>
          <w:sz w:val="20"/>
          <w:szCs w:val="20"/>
        </w:rPr>
        <w:t xml:space="preserve"> edited by M. </w:t>
      </w:r>
      <w:proofErr w:type="spellStart"/>
      <w:r w:rsidRPr="001B34B6">
        <w:rPr>
          <w:rFonts w:ascii="Arial" w:eastAsia="Times New Roman" w:hAnsi="Arial" w:cs="Arial"/>
          <w:sz w:val="20"/>
          <w:szCs w:val="20"/>
        </w:rPr>
        <w:t>Shike</w:t>
      </w:r>
      <w:proofErr w:type="spellEnd"/>
      <w:r w:rsidRPr="001B34B6">
        <w:rPr>
          <w:rFonts w:ascii="Arial" w:eastAsia="Times New Roman" w:hAnsi="Arial" w:cs="Arial"/>
          <w:sz w:val="20"/>
          <w:szCs w:val="20"/>
        </w:rPr>
        <w:t xml:space="preserve"> and others [Lippincott, Williams, &amp; </w:t>
      </w:r>
      <w:proofErr w:type="spellStart"/>
      <w:r w:rsidRPr="001B34B6">
        <w:rPr>
          <w:rFonts w:ascii="Arial" w:eastAsia="Times New Roman" w:hAnsi="Arial" w:cs="Arial"/>
          <w:sz w:val="20"/>
          <w:szCs w:val="20"/>
        </w:rPr>
        <w:t>Wilknis</w:t>
      </w:r>
      <w:proofErr w:type="spellEnd"/>
      <w:r w:rsidRPr="001B34B6">
        <w:rPr>
          <w:rFonts w:ascii="Arial" w:eastAsia="Times New Roman" w:hAnsi="Arial" w:cs="Arial"/>
          <w:sz w:val="20"/>
          <w:szCs w:val="20"/>
        </w:rPr>
        <w:t xml:space="preserve"> Publishers, 2006, p.310] it is observed: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Iodine is a necessary component of the thyroid hormones, which are required for life and health. Iodine is distributed unequally over the earth, and half of the world's population lives in countries with significant deficiency. The worst </w:t>
      </w:r>
      <w:proofErr w:type="gramStart"/>
      <w:r w:rsidRPr="001B34B6">
        <w:rPr>
          <w:rFonts w:ascii="Arial" w:eastAsia="Times New Roman" w:hAnsi="Arial" w:cs="Arial"/>
          <w:sz w:val="20"/>
          <w:szCs w:val="20"/>
        </w:rPr>
        <w:t>consequence of the deficiency occur</w:t>
      </w:r>
      <w:proofErr w:type="gramEnd"/>
      <w:r w:rsidRPr="001B34B6">
        <w:rPr>
          <w:rFonts w:ascii="Arial" w:eastAsia="Times New Roman" w:hAnsi="Arial" w:cs="Arial"/>
          <w:sz w:val="20"/>
          <w:szCs w:val="20"/>
        </w:rPr>
        <w:t xml:space="preserve"> during pregnancy and included fetal and infant deaths, irreversible brain damage, and maternal complications. Additional problems of the rest of the community are hypothyroidism, goiter, and socio-economic sanitation.</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of salt is the best and most effective way of correcting iodine deficiency. Excess iodine intake occasionally occurs but can be avoided: its consequences are minor compared with those of deficiency.</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14. There is thus some material to support the contention of the Petitioners that around 90% of the populace </w:t>
      </w:r>
      <w:proofErr w:type="gramStart"/>
      <w:r w:rsidRPr="001B34B6">
        <w:rPr>
          <w:rFonts w:ascii="Arial" w:eastAsia="Times New Roman" w:hAnsi="Arial" w:cs="Arial"/>
          <w:sz w:val="20"/>
          <w:szCs w:val="20"/>
        </w:rPr>
        <w:t>do</w:t>
      </w:r>
      <w:proofErr w:type="gramEnd"/>
      <w:r w:rsidRPr="001B34B6">
        <w:rPr>
          <w:rFonts w:ascii="Arial" w:eastAsia="Times New Roman" w:hAnsi="Arial" w:cs="Arial"/>
          <w:sz w:val="20"/>
          <w:szCs w:val="20"/>
        </w:rPr>
        <w:t xml:space="preserve"> not need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and that consumption of excess iodine may have some adverse effects. On the other hand there is also considerable material for the view that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is also necessary to prevent ID Ds in about 10% (or more) of the populace and the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by the remaining 90% who do not require it, may not be injurious to their health as excess iodine is easily excreted. The question whether there should be universal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is a much debated technical issue relating to medical science. An informed decision in such matters can only be taken by experts after carrying out exhaustive surveys, trials, tests, scientific investigations and research. Courts are neither equipped, nor can be expected to decide about the need or absence of need for such universal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on the basis of some articles and reports placed before it. This Court in a series of decisions has reiterated that courts should not rush in where even scientists and medical experts are careful to tread. The rule of prudence is that courts will be reluctant to interfere with policy decisions taken by the Government, in matters of public health, after collecting and </w:t>
      </w:r>
      <w:proofErr w:type="spellStart"/>
      <w:r w:rsidRPr="001B34B6">
        <w:rPr>
          <w:rFonts w:ascii="Arial" w:eastAsia="Times New Roman" w:hAnsi="Arial" w:cs="Arial"/>
          <w:sz w:val="20"/>
          <w:szCs w:val="20"/>
        </w:rPr>
        <w:t>analysing</w:t>
      </w:r>
      <w:proofErr w:type="spellEnd"/>
      <w:r w:rsidRPr="001B34B6">
        <w:rPr>
          <w:rFonts w:ascii="Arial" w:eastAsia="Times New Roman" w:hAnsi="Arial" w:cs="Arial"/>
          <w:sz w:val="20"/>
          <w:szCs w:val="20"/>
        </w:rPr>
        <w:t xml:space="preserve"> inputs from surveys and research. Nor will courts attempt to substitute their own views as to what is wise, safe prudent or proper, in relation to technical issues relating to public health in preference to those formulated by persons said to possess technical expertise and rich experience. </w:t>
      </w:r>
      <w:r w:rsidRPr="001B34B6">
        <w:rPr>
          <w:rFonts w:ascii="Arial" w:eastAsia="Times New Roman" w:hAnsi="Arial" w:cs="Arial"/>
          <w:sz w:val="20"/>
          <w:szCs w:val="20"/>
        </w:rPr>
        <w:lastRenderedPageBreak/>
        <w:t>This Court in </w:t>
      </w:r>
      <w:r w:rsidRPr="001B34B6">
        <w:rPr>
          <w:rFonts w:ascii="Arial" w:eastAsia="Times New Roman" w:hAnsi="Arial" w:cs="Arial"/>
          <w:i/>
          <w:iCs/>
          <w:sz w:val="20"/>
          <w:szCs w:val="20"/>
        </w:rPr>
        <w:t xml:space="preserve">Directorate of Film Festivals v. </w:t>
      </w:r>
      <w:proofErr w:type="spellStart"/>
      <w:r w:rsidRPr="001B34B6">
        <w:rPr>
          <w:rFonts w:ascii="Arial" w:eastAsia="Times New Roman" w:hAnsi="Arial" w:cs="Arial"/>
          <w:i/>
          <w:iCs/>
          <w:sz w:val="20"/>
          <w:szCs w:val="20"/>
        </w:rPr>
        <w:t>Gaurav</w:t>
      </w:r>
      <w:proofErr w:type="spellEnd"/>
      <w:r w:rsidRPr="001B34B6">
        <w:rPr>
          <w:rFonts w:ascii="Arial" w:eastAsia="Times New Roman" w:hAnsi="Arial" w:cs="Arial"/>
          <w:i/>
          <w:iCs/>
          <w:sz w:val="20"/>
          <w:szCs w:val="20"/>
        </w:rPr>
        <w:t xml:space="preserve"> </w:t>
      </w:r>
      <w:proofErr w:type="spellStart"/>
      <w:r w:rsidRPr="001B34B6">
        <w:rPr>
          <w:rFonts w:ascii="Arial" w:eastAsia="Times New Roman" w:hAnsi="Arial" w:cs="Arial"/>
          <w:i/>
          <w:iCs/>
          <w:sz w:val="20"/>
          <w:szCs w:val="20"/>
        </w:rPr>
        <w:t>Ashwin</w:t>
      </w:r>
      <w:proofErr w:type="spellEnd"/>
      <w:r w:rsidRPr="001B34B6">
        <w:rPr>
          <w:rFonts w:ascii="Arial" w:eastAsia="Times New Roman" w:hAnsi="Arial" w:cs="Arial"/>
          <w:i/>
          <w:iCs/>
          <w:sz w:val="20"/>
          <w:szCs w:val="20"/>
        </w:rPr>
        <w:t xml:space="preserve"> </w:t>
      </w:r>
      <w:proofErr w:type="spellStart"/>
      <w:r w:rsidRPr="001B34B6">
        <w:rPr>
          <w:rFonts w:ascii="Arial" w:eastAsia="Times New Roman" w:hAnsi="Arial" w:cs="Arial"/>
          <w:i/>
          <w:iCs/>
          <w:sz w:val="20"/>
          <w:szCs w:val="20"/>
        </w:rPr>
        <w:t>Jain</w:t>
      </w:r>
      <w:r w:rsidRPr="001B34B6">
        <w:rPr>
          <w:rFonts w:ascii="Arial" w:eastAsia="Times New Roman" w:hAnsi="Arial" w:cs="Arial"/>
          <w:sz w:val="20"/>
          <w:szCs w:val="20"/>
        </w:rPr>
        <w:t>MANU</w:t>
      </w:r>
      <w:proofErr w:type="spellEnd"/>
      <w:r w:rsidRPr="001B34B6">
        <w:rPr>
          <w:rFonts w:ascii="Arial" w:eastAsia="Times New Roman" w:hAnsi="Arial" w:cs="Arial"/>
          <w:sz w:val="20"/>
          <w:szCs w:val="20"/>
        </w:rPr>
        <w:t>/SC/1778/</w:t>
      </w:r>
      <w:proofErr w:type="gramStart"/>
      <w:r w:rsidRPr="001B34B6">
        <w:rPr>
          <w:rFonts w:ascii="Arial" w:eastAsia="Times New Roman" w:hAnsi="Arial" w:cs="Arial"/>
          <w:sz w:val="20"/>
          <w:szCs w:val="20"/>
        </w:rPr>
        <w:t>2007 :</w:t>
      </w:r>
      <w:proofErr w:type="gramEnd"/>
      <w:r w:rsidRPr="001B34B6">
        <w:rPr>
          <w:rFonts w:ascii="Arial" w:eastAsia="Times New Roman" w:hAnsi="Arial" w:cs="Arial"/>
          <w:sz w:val="20"/>
          <w:szCs w:val="20"/>
        </w:rPr>
        <w:t xml:space="preserve"> 2007 (4) SCC 737, pointed out:</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The scope of judicial review of governmental policy is now well defined. Courts do not and cannot act as Appellate Authorities examining the correctness, suitability and appropriateness of a policy. Nor are courts Advisors to the executive on matters of policy which the executive is entitled to formulate. The scope of judicial review when examining a policy of the government is to check whether it violates the fundamental rights of the citizens or is opposed to the provisions of the Constitution, or opposed to any statutory provision or manifestly arbitrary. Courts cannot interfere with policy either on the ground that it is erroneous or on the ground that a better, fairer or wiser alternative is available. Legality of the policy, and not the wisdom or soundness of the policy, is the subject of judicial review.</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15. The limited question that can therefore be examined by this Court is whether the policy underlying Rule 44I based on opinion of experts and national survey can be said to be wholly arbitrary and unreasonable so as to be </w:t>
      </w:r>
      <w:proofErr w:type="spellStart"/>
      <w:r w:rsidRPr="001B34B6">
        <w:rPr>
          <w:rFonts w:ascii="Arial" w:eastAsia="Times New Roman" w:hAnsi="Arial" w:cs="Arial"/>
          <w:sz w:val="20"/>
          <w:szCs w:val="20"/>
        </w:rPr>
        <w:t>violative</w:t>
      </w:r>
      <w:proofErr w:type="spellEnd"/>
      <w:r w:rsidRPr="001B34B6">
        <w:rPr>
          <w:rFonts w:ascii="Arial" w:eastAsia="Times New Roman" w:hAnsi="Arial" w:cs="Arial"/>
          <w:sz w:val="20"/>
          <w:szCs w:val="20"/>
        </w:rPr>
        <w:t xml:space="preserve"> of Article 14. The further question is whether forcing the majority of populace who are not having iodine deficiency to use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to ensure that those with iodine deficiency get their needed dosage of iodine would affect their right to life under Article 21. The last question is whether the rule violates the fundamental right of small scale and medium scale manufacturers of salt and traders to carry on trade or business and thereby violates Article 19(1</w:t>
      </w:r>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g).</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16. In our considered opinion the Petitioners' challenge to constitutionality of the impugned amendment is bound to fail. Courts are not equipped to decide the medical issue relating to public health, as to whether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should be replaced by voluntary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as has been done in some developed countries, so that both common salt and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are available in the market and only those 10% who are deficient in iodine can opt for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The Government of India has taken note of scientific and medical inputs, research results and survey data to conclude that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is the most effective and accepted method for elimination of iodine deficiency disorders and that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by persons not suffering from iodine deficiency will not adversely affect them. Rule 44I is stated to be in implementation of a policy decision regarding public health. The material placed by the Petitioners is not sufficient to hold that the reason for the ban is erroneous and that Rule 44I is unreasonable and arbitrary. We therefore reject the contention that the provision placing a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 resulting in compulsory intake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w:t>
      </w:r>
      <w:proofErr w:type="gramStart"/>
      <w:r w:rsidRPr="001B34B6">
        <w:rPr>
          <w:rFonts w:ascii="Arial" w:eastAsia="Times New Roman" w:hAnsi="Arial" w:cs="Arial"/>
          <w:sz w:val="20"/>
          <w:szCs w:val="20"/>
        </w:rPr>
        <w:t>salt,</w:t>
      </w:r>
      <w:proofErr w:type="gramEnd"/>
      <w:r w:rsidRPr="001B34B6">
        <w:rPr>
          <w:rFonts w:ascii="Arial" w:eastAsia="Times New Roman" w:hAnsi="Arial" w:cs="Arial"/>
          <w:sz w:val="20"/>
          <w:szCs w:val="20"/>
        </w:rPr>
        <w:t xml:space="preserve"> is arbitrary and </w:t>
      </w:r>
      <w:proofErr w:type="spellStart"/>
      <w:r w:rsidRPr="001B34B6">
        <w:rPr>
          <w:rFonts w:ascii="Arial" w:eastAsia="Times New Roman" w:hAnsi="Arial" w:cs="Arial"/>
          <w:sz w:val="20"/>
          <w:szCs w:val="20"/>
        </w:rPr>
        <w:t>violative</w:t>
      </w:r>
      <w:proofErr w:type="spellEnd"/>
      <w:r w:rsidRPr="001B34B6">
        <w:rPr>
          <w:rFonts w:ascii="Arial" w:eastAsia="Times New Roman" w:hAnsi="Arial" w:cs="Arial"/>
          <w:sz w:val="20"/>
          <w:szCs w:val="20"/>
        </w:rPr>
        <w:t xml:space="preserve"> of Article 14 or injurious to the health of general populace and therefore </w:t>
      </w:r>
      <w:proofErr w:type="spellStart"/>
      <w:r w:rsidRPr="001B34B6">
        <w:rPr>
          <w:rFonts w:ascii="Arial" w:eastAsia="Times New Roman" w:hAnsi="Arial" w:cs="Arial"/>
          <w:sz w:val="20"/>
          <w:szCs w:val="20"/>
        </w:rPr>
        <w:t>violative</w:t>
      </w:r>
      <w:proofErr w:type="spellEnd"/>
      <w:r w:rsidRPr="001B34B6">
        <w:rPr>
          <w:rFonts w:ascii="Arial" w:eastAsia="Times New Roman" w:hAnsi="Arial" w:cs="Arial"/>
          <w:sz w:val="20"/>
          <w:szCs w:val="20"/>
        </w:rPr>
        <w:t xml:space="preserve"> of Article 21. The use of common salt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industrial and commercial use has not prohibited. The ban operates only in regard to use of common salt for human consumption. There is also no material to show that any monopoly is sought to be created in </w:t>
      </w:r>
      <w:proofErr w:type="spellStart"/>
      <w:r w:rsidRPr="001B34B6">
        <w:rPr>
          <w:rFonts w:ascii="Arial" w:eastAsia="Times New Roman" w:hAnsi="Arial" w:cs="Arial"/>
          <w:sz w:val="20"/>
          <w:szCs w:val="20"/>
        </w:rPr>
        <w:t>favour</w:t>
      </w:r>
      <w:proofErr w:type="spellEnd"/>
      <w:r w:rsidRPr="001B34B6">
        <w:rPr>
          <w:rFonts w:ascii="Arial" w:eastAsia="Times New Roman" w:hAnsi="Arial" w:cs="Arial"/>
          <w:sz w:val="20"/>
          <w:szCs w:val="20"/>
        </w:rPr>
        <w:t xml:space="preserve"> of a chosen few companies or MN Cs. In the circumstances, the contention that Article 19(1</w:t>
      </w:r>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g) is violated is liable to be rejected.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b/>
          <w:bCs/>
          <w:sz w:val="20"/>
          <w:szCs w:val="20"/>
        </w:rPr>
        <w:t>Re: Question (ii)</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17. The Petitioners next contend that Rule 44I apart from being contrary to the objects and provisions of the Act, travels beyond the scope of the Act. It is also contended that the Act does not empower the central government to make a rule banning the manufacture, sale or distribution of an article unless it is adulterated or injurious to health. The Respondent on the other hand contends that Section 7(iv) and Sub-sections (1) and (1A) (f) of Section 23 of the Act empower and enable the central government to make Rule 44I and the rule does not travel beyond the scope of the Act. To consider this question, it is necessary to refer to the relevant provisions of the Act which was enacted to make provision for prevention of food adulteration.</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lastRenderedPageBreak/>
        <w:t xml:space="preserve">18. The Act contemplates prohibition of manufacture, storing, sale or distribution of any adulterated and </w:t>
      </w:r>
      <w:proofErr w:type="spellStart"/>
      <w:r w:rsidRPr="001B34B6">
        <w:rPr>
          <w:rFonts w:ascii="Arial" w:eastAsia="Times New Roman" w:hAnsi="Arial" w:cs="Arial"/>
          <w:sz w:val="20"/>
          <w:szCs w:val="20"/>
        </w:rPr>
        <w:t>mis</w:t>
      </w:r>
      <w:proofErr w:type="spellEnd"/>
      <w:r w:rsidRPr="001B34B6">
        <w:rPr>
          <w:rFonts w:ascii="Arial" w:eastAsia="Times New Roman" w:hAnsi="Arial" w:cs="Arial"/>
          <w:sz w:val="20"/>
          <w:szCs w:val="20"/>
        </w:rPr>
        <w:t>-branded food, measures to prevent adulteration, and also provides for laying down food standards and prohibiting import of certain objectionable articles of food items. Section 7 of the Act relates to prohibition of manufacture, sale etc. of certain articles of food. It is extracted below:</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7. </w:t>
      </w:r>
      <w:r w:rsidRPr="001B34B6">
        <w:rPr>
          <w:rFonts w:ascii="Arial" w:eastAsia="Times New Roman" w:hAnsi="Arial" w:cs="Arial"/>
          <w:b/>
          <w:bCs/>
          <w:sz w:val="20"/>
          <w:szCs w:val="20"/>
        </w:rPr>
        <w:t>Prohibition of manufacture, sale, etc., of certain articles of food.--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No person shall himself or by any person on his behalf manufacture for sale, or store, sell or distribute--</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w:t>
      </w:r>
      <w:proofErr w:type="spellStart"/>
      <w:r w:rsidRPr="001B34B6">
        <w:rPr>
          <w:rFonts w:ascii="Arial" w:eastAsia="Times New Roman" w:hAnsi="Arial" w:cs="Arial"/>
          <w:sz w:val="20"/>
          <w:szCs w:val="20"/>
        </w:rPr>
        <w:t>i</w:t>
      </w:r>
      <w:proofErr w:type="spellEnd"/>
      <w:r w:rsidRPr="001B34B6">
        <w:rPr>
          <w:rFonts w:ascii="Arial" w:eastAsia="Times New Roman" w:hAnsi="Arial" w:cs="Arial"/>
          <w:sz w:val="20"/>
          <w:szCs w:val="20"/>
        </w:rPr>
        <w:t xml:space="preserve">)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adulterated food;</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(ii)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misbranded food;</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(iii)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article of food for the sale of which a </w:t>
      </w:r>
      <w:proofErr w:type="spellStart"/>
      <w:r w:rsidRPr="001B34B6">
        <w:rPr>
          <w:rFonts w:ascii="Arial" w:eastAsia="Times New Roman" w:hAnsi="Arial" w:cs="Arial"/>
          <w:sz w:val="20"/>
          <w:szCs w:val="20"/>
        </w:rPr>
        <w:t>licence</w:t>
      </w:r>
      <w:proofErr w:type="spellEnd"/>
      <w:r w:rsidRPr="001B34B6">
        <w:rPr>
          <w:rFonts w:ascii="Arial" w:eastAsia="Times New Roman" w:hAnsi="Arial" w:cs="Arial"/>
          <w:sz w:val="20"/>
          <w:szCs w:val="20"/>
        </w:rPr>
        <w:t xml:space="preserve"> is prescribed, except in accordance with the conditions of the </w:t>
      </w:r>
      <w:proofErr w:type="spellStart"/>
      <w:r w:rsidRPr="001B34B6">
        <w:rPr>
          <w:rFonts w:ascii="Arial" w:eastAsia="Times New Roman" w:hAnsi="Arial" w:cs="Arial"/>
          <w:sz w:val="20"/>
          <w:szCs w:val="20"/>
        </w:rPr>
        <w:t>licence</w:t>
      </w:r>
      <w:proofErr w:type="spellEnd"/>
      <w:r w:rsidRPr="001B34B6">
        <w:rPr>
          <w:rFonts w:ascii="Arial" w:eastAsia="Times New Roman" w:hAnsi="Arial" w:cs="Arial"/>
          <w:sz w:val="20"/>
          <w:szCs w:val="20"/>
        </w:rPr>
        <w:t>;</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(iv)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article of food the sale of which is for the time being prohibited by the Food (Health) Authority in the interest of public health;</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(v)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article of food in contravention of any other provision of this Act or of any rule made there under; or</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(vi)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adulterant.</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The term 'food' is defined in Section 2(v) as under:</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(v) "</w:t>
      </w:r>
      <w:proofErr w:type="gramStart"/>
      <w:r w:rsidRPr="001B34B6">
        <w:rPr>
          <w:rFonts w:ascii="Arial" w:eastAsia="Times New Roman" w:hAnsi="Arial" w:cs="Arial"/>
          <w:sz w:val="20"/>
          <w:szCs w:val="20"/>
        </w:rPr>
        <w:t>food</w:t>
      </w:r>
      <w:proofErr w:type="gramEnd"/>
      <w:r w:rsidRPr="001B34B6">
        <w:rPr>
          <w:rFonts w:ascii="Arial" w:eastAsia="Times New Roman" w:hAnsi="Arial" w:cs="Arial"/>
          <w:sz w:val="20"/>
          <w:szCs w:val="20"/>
        </w:rPr>
        <w:t>" means any article used as food or drink for human consumption other than drugs and water and includes--</w:t>
      </w:r>
    </w:p>
    <w:p w:rsidR="00C009A2" w:rsidRPr="001B34B6" w:rsidRDefault="00C009A2" w:rsidP="001B34B6">
      <w:pPr>
        <w:shd w:val="clear" w:color="auto" w:fill="FFFFFF"/>
        <w:spacing w:after="210" w:line="285" w:lineRule="atLeast"/>
        <w:ind w:right="2475"/>
        <w:jc w:val="both"/>
        <w:rPr>
          <w:rFonts w:ascii="Arial" w:eastAsia="Times New Roman" w:hAnsi="Arial" w:cs="Arial"/>
          <w:sz w:val="20"/>
          <w:szCs w:val="20"/>
        </w:rPr>
      </w:pPr>
      <w:r w:rsidRPr="001B34B6">
        <w:rPr>
          <w:rFonts w:ascii="Arial" w:eastAsia="Times New Roman" w:hAnsi="Arial" w:cs="Arial"/>
          <w:sz w:val="20"/>
          <w:szCs w:val="20"/>
        </w:rPr>
        <w:t xml:space="preserve">(a)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article which ordinarily enters into, or is used in the composition or preparation of, human food,</w:t>
      </w:r>
    </w:p>
    <w:p w:rsidR="00C009A2" w:rsidRPr="001B34B6" w:rsidRDefault="00C009A2" w:rsidP="001B34B6">
      <w:pPr>
        <w:shd w:val="clear" w:color="auto" w:fill="FFFFFF"/>
        <w:spacing w:after="210" w:line="285" w:lineRule="atLeast"/>
        <w:ind w:right="2475"/>
        <w:jc w:val="both"/>
        <w:rPr>
          <w:rFonts w:ascii="Arial" w:eastAsia="Times New Roman" w:hAnsi="Arial" w:cs="Arial"/>
          <w:sz w:val="20"/>
          <w:szCs w:val="20"/>
        </w:rPr>
      </w:pPr>
      <w:r w:rsidRPr="001B34B6">
        <w:rPr>
          <w:rFonts w:ascii="Arial" w:eastAsia="Times New Roman" w:hAnsi="Arial" w:cs="Arial"/>
          <w:sz w:val="20"/>
          <w:szCs w:val="20"/>
        </w:rPr>
        <w:t xml:space="preserve">(b)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flavouring</w:t>
      </w:r>
      <w:proofErr w:type="spellEnd"/>
      <w:r w:rsidRPr="001B34B6">
        <w:rPr>
          <w:rFonts w:ascii="Arial" w:eastAsia="Times New Roman" w:hAnsi="Arial" w:cs="Arial"/>
          <w:sz w:val="20"/>
          <w:szCs w:val="20"/>
        </w:rPr>
        <w:t xml:space="preserve"> matter or condiments, and</w:t>
      </w:r>
    </w:p>
    <w:p w:rsidR="00C009A2" w:rsidRPr="001B34B6" w:rsidRDefault="00C009A2" w:rsidP="001B34B6">
      <w:pPr>
        <w:shd w:val="clear" w:color="auto" w:fill="FFFFFF"/>
        <w:spacing w:after="210" w:line="285" w:lineRule="atLeast"/>
        <w:ind w:right="2475"/>
        <w:jc w:val="both"/>
        <w:rPr>
          <w:rFonts w:ascii="Arial" w:eastAsia="Times New Roman" w:hAnsi="Arial" w:cs="Arial"/>
          <w:sz w:val="20"/>
          <w:szCs w:val="20"/>
        </w:rPr>
      </w:pPr>
      <w:r w:rsidRPr="001B34B6">
        <w:rPr>
          <w:rFonts w:ascii="Arial" w:eastAsia="Times New Roman" w:hAnsi="Arial" w:cs="Arial"/>
          <w:sz w:val="20"/>
          <w:szCs w:val="20"/>
        </w:rPr>
        <w:t xml:space="preserve">(c) </w:t>
      </w:r>
      <w:proofErr w:type="gramStart"/>
      <w:r w:rsidRPr="001B34B6">
        <w:rPr>
          <w:rFonts w:ascii="Arial" w:eastAsia="Times New Roman" w:hAnsi="Arial" w:cs="Arial"/>
          <w:sz w:val="20"/>
          <w:szCs w:val="20"/>
        </w:rPr>
        <w:t>any</w:t>
      </w:r>
      <w:proofErr w:type="gramEnd"/>
      <w:r w:rsidRPr="001B34B6">
        <w:rPr>
          <w:rFonts w:ascii="Arial" w:eastAsia="Times New Roman" w:hAnsi="Arial" w:cs="Arial"/>
          <w:sz w:val="20"/>
          <w:szCs w:val="20"/>
        </w:rPr>
        <w:t xml:space="preserve"> other article which the Central Government may, having regard to its use, nature, substance or quality, declare, by notification in the Official Gazette, as food for the purposes of this Act;</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'Food (Health) Authority' is defined in Section 2(vi) as under:</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Food (Health) Authority" means the Director of Medical and Health Services or the Chief Officer in-charge of Health administration in a State, by whatever designation he is known, and includes any officer empowered by the Central Government or the State Government, by notification in the Official Gazette, to exercise the powers and perform the duties of the Food (Health) Authority under this Act with respect to such local area as may be specified in the notification;</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Section 23 of the Act relates to the power of the central government to make rules, relevant portions of which are extracted below:</w:t>
      </w:r>
    </w:p>
    <w:p w:rsidR="00C009A2" w:rsidRPr="001B34B6" w:rsidRDefault="00C009A2" w:rsidP="001B34B6">
      <w:pPr>
        <w:shd w:val="clear" w:color="auto" w:fill="FFFFFF"/>
        <w:spacing w:after="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23. </w:t>
      </w:r>
      <w:r w:rsidRPr="001B34B6">
        <w:rPr>
          <w:rFonts w:ascii="Arial" w:eastAsia="Times New Roman" w:hAnsi="Arial" w:cs="Arial"/>
          <w:b/>
          <w:bCs/>
          <w:sz w:val="20"/>
          <w:szCs w:val="20"/>
        </w:rPr>
        <w:t>Power of the Central Government to make rules.--</w:t>
      </w:r>
      <w:r w:rsidRPr="001B34B6">
        <w:rPr>
          <w:rFonts w:ascii="Arial" w:eastAsia="Times New Roman" w:hAnsi="Arial" w:cs="Arial"/>
          <w:sz w:val="20"/>
          <w:szCs w:val="20"/>
        </w:rPr>
        <w:t>(1) The Central Government may, after consultation with the Committee and after previous publication by notification in the Official Gazette, make rules to carry out the provisions of this Act:</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proofErr w:type="gramStart"/>
      <w:r w:rsidRPr="001B34B6">
        <w:rPr>
          <w:rFonts w:ascii="Arial" w:eastAsia="Times New Roman" w:hAnsi="Arial" w:cs="Arial"/>
          <w:sz w:val="20"/>
          <w:szCs w:val="20"/>
        </w:rPr>
        <w:lastRenderedPageBreak/>
        <w:t>xxx</w:t>
      </w:r>
      <w:proofErr w:type="gramEnd"/>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(1A) In particular and without prejudice to the generality of the foregoing power, such rules may provide for all or any of the following matters, namely:</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XXX</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 xml:space="preserve">(f) prohibiting the sale of defining the conditions of sale of any substance which may be injurious to health when used as food or restricting in any manner its use as an ingredient in the manufacture of any article of food or regulating by the issue of </w:t>
      </w:r>
      <w:proofErr w:type="spellStart"/>
      <w:r w:rsidRPr="001B34B6">
        <w:rPr>
          <w:rFonts w:ascii="Arial" w:eastAsia="Times New Roman" w:hAnsi="Arial" w:cs="Arial"/>
          <w:sz w:val="20"/>
          <w:szCs w:val="20"/>
        </w:rPr>
        <w:t>licences</w:t>
      </w:r>
      <w:proofErr w:type="spellEnd"/>
      <w:r w:rsidRPr="001B34B6">
        <w:rPr>
          <w:rFonts w:ascii="Arial" w:eastAsia="Times New Roman" w:hAnsi="Arial" w:cs="Arial"/>
          <w:sz w:val="20"/>
          <w:szCs w:val="20"/>
        </w:rPr>
        <w:t xml:space="preserve"> the manufacture or sale of any article of food;</w:t>
      </w:r>
    </w:p>
    <w:p w:rsidR="00C009A2" w:rsidRPr="001B34B6" w:rsidRDefault="00C009A2" w:rsidP="001B34B6">
      <w:pPr>
        <w:shd w:val="clear" w:color="auto" w:fill="FFFFFF"/>
        <w:spacing w:after="210" w:line="285" w:lineRule="atLeast"/>
        <w:ind w:right="1725"/>
        <w:jc w:val="both"/>
        <w:rPr>
          <w:rFonts w:ascii="Arial" w:eastAsia="Times New Roman" w:hAnsi="Arial" w:cs="Arial"/>
          <w:sz w:val="20"/>
          <w:szCs w:val="20"/>
        </w:rPr>
      </w:pPr>
      <w:r w:rsidRPr="001B34B6">
        <w:rPr>
          <w:rFonts w:ascii="Arial" w:eastAsia="Times New Roman" w:hAnsi="Arial" w:cs="Arial"/>
          <w:sz w:val="20"/>
          <w:szCs w:val="20"/>
        </w:rPr>
        <w:t>XXX</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19. The object of the Act is to prevent supply of adulterated food-stuff as a part of business activity, in the interests of health of the community. In </w:t>
      </w:r>
      <w:r w:rsidRPr="001B34B6">
        <w:rPr>
          <w:rFonts w:ascii="Arial" w:eastAsia="Times New Roman" w:hAnsi="Arial" w:cs="Arial"/>
          <w:i/>
          <w:iCs/>
          <w:sz w:val="20"/>
          <w:szCs w:val="20"/>
        </w:rPr>
        <w:t xml:space="preserve">Municipal Corporation of Delhi, v. </w:t>
      </w:r>
      <w:proofErr w:type="spellStart"/>
      <w:r w:rsidRPr="001B34B6">
        <w:rPr>
          <w:rFonts w:ascii="Arial" w:eastAsia="Times New Roman" w:hAnsi="Arial" w:cs="Arial"/>
          <w:i/>
          <w:iCs/>
          <w:sz w:val="20"/>
          <w:szCs w:val="20"/>
        </w:rPr>
        <w:t>Kacheroo</w:t>
      </w:r>
      <w:proofErr w:type="spellEnd"/>
      <w:r w:rsidRPr="001B34B6">
        <w:rPr>
          <w:rFonts w:ascii="Arial" w:eastAsia="Times New Roman" w:hAnsi="Arial" w:cs="Arial"/>
          <w:i/>
          <w:iCs/>
          <w:sz w:val="20"/>
          <w:szCs w:val="20"/>
        </w:rPr>
        <w:t xml:space="preserve"> Mal</w:t>
      </w:r>
      <w:r w:rsidRPr="001B34B6">
        <w:rPr>
          <w:rFonts w:ascii="Arial" w:eastAsia="Times New Roman" w:hAnsi="Arial" w:cs="Arial"/>
          <w:sz w:val="20"/>
          <w:szCs w:val="20"/>
        </w:rPr>
        <w:t> MANU/SC/0171/</w:t>
      </w:r>
      <w:proofErr w:type="gramStart"/>
      <w:r w:rsidRPr="001B34B6">
        <w:rPr>
          <w:rFonts w:ascii="Arial" w:eastAsia="Times New Roman" w:hAnsi="Arial" w:cs="Arial"/>
          <w:sz w:val="20"/>
          <w:szCs w:val="20"/>
        </w:rPr>
        <w:t>1975 :</w:t>
      </w:r>
      <w:proofErr w:type="gramEnd"/>
      <w:r w:rsidRPr="001B34B6">
        <w:rPr>
          <w:rFonts w:ascii="Arial" w:eastAsia="Times New Roman" w:hAnsi="Arial" w:cs="Arial"/>
          <w:sz w:val="20"/>
          <w:szCs w:val="20"/>
        </w:rPr>
        <w:t xml:space="preserve"> 1976 (1) SCC 412, this Court described the object of the Act thus: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i/>
          <w:iCs/>
          <w:sz w:val="20"/>
          <w:szCs w:val="20"/>
        </w:rPr>
        <w:t>The Act has been enacted to curb and remedy the widespread evil of food-adulteration, and to ensure the sale of wholesome food to the people.</w:t>
      </w:r>
      <w:r w:rsidRPr="001B34B6">
        <w:rPr>
          <w:rFonts w:ascii="Arial" w:eastAsia="Times New Roman" w:hAnsi="Arial" w:cs="Arial"/>
          <w:sz w:val="20"/>
          <w:szCs w:val="20"/>
        </w:rPr>
        <w:t> It is well settled that wherever possible, without unreasonable stretching or straining the language of such a statute, should be construed in a manner which would suppress the mischief, advance the remedy, promote its object, prevent its subtle evasion and foil its artful circumvention....</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proofErr w:type="spellStart"/>
      <w:r w:rsidRPr="001B34B6">
        <w:rPr>
          <w:rFonts w:ascii="Arial" w:eastAsia="Times New Roman" w:hAnsi="Arial" w:cs="Arial"/>
          <w:i/>
          <w:iCs/>
          <w:sz w:val="20"/>
          <w:szCs w:val="20"/>
        </w:rPr>
        <w:t>Dinesh</w:t>
      </w:r>
      <w:proofErr w:type="spellEnd"/>
      <w:r w:rsidRPr="001B34B6">
        <w:rPr>
          <w:rFonts w:ascii="Arial" w:eastAsia="Times New Roman" w:hAnsi="Arial" w:cs="Arial"/>
          <w:i/>
          <w:iCs/>
          <w:sz w:val="20"/>
          <w:szCs w:val="20"/>
        </w:rPr>
        <w:t xml:space="preserve"> Chandra </w:t>
      </w:r>
      <w:proofErr w:type="spellStart"/>
      <w:r w:rsidRPr="001B34B6">
        <w:rPr>
          <w:rFonts w:ascii="Arial" w:eastAsia="Times New Roman" w:hAnsi="Arial" w:cs="Arial"/>
          <w:i/>
          <w:iCs/>
          <w:sz w:val="20"/>
          <w:szCs w:val="20"/>
        </w:rPr>
        <w:t>Jamnadas</w:t>
      </w:r>
      <w:proofErr w:type="spellEnd"/>
      <w:r w:rsidRPr="001B34B6">
        <w:rPr>
          <w:rFonts w:ascii="Arial" w:eastAsia="Times New Roman" w:hAnsi="Arial" w:cs="Arial"/>
          <w:i/>
          <w:iCs/>
          <w:sz w:val="20"/>
          <w:szCs w:val="20"/>
        </w:rPr>
        <w:t xml:space="preserve"> Gandhi v. State of Gujarat</w:t>
      </w:r>
      <w:r w:rsidRPr="001B34B6">
        <w:rPr>
          <w:rFonts w:ascii="Arial" w:eastAsia="Times New Roman" w:hAnsi="Arial" w:cs="Arial"/>
          <w:sz w:val="20"/>
          <w:szCs w:val="20"/>
        </w:rPr>
        <w:t> MANU/SC/0163/</w:t>
      </w:r>
      <w:proofErr w:type="gramStart"/>
      <w:r w:rsidRPr="001B34B6">
        <w:rPr>
          <w:rFonts w:ascii="Arial" w:eastAsia="Times New Roman" w:hAnsi="Arial" w:cs="Arial"/>
          <w:sz w:val="20"/>
          <w:szCs w:val="20"/>
        </w:rPr>
        <w:t>1989 :</w:t>
      </w:r>
      <w:proofErr w:type="gramEnd"/>
      <w:r w:rsidRPr="001B34B6">
        <w:rPr>
          <w:rFonts w:ascii="Arial" w:eastAsia="Times New Roman" w:hAnsi="Arial" w:cs="Arial"/>
          <w:sz w:val="20"/>
          <w:szCs w:val="20"/>
        </w:rPr>
        <w:t xml:space="preserve"> 1989 (1) SCC 420, this Court described the object of the Act thus:</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The object and the purpose of the Act are to eliminate the danger to human life from the sale of unwholesome articles of food The legislation is on the Topic 'Adulteration of Food Stuffs and other Goods' (Entry 18 list III Seventh Schedule). It is enacted to curb the wide spread evil of food adulteration and is a legislative measure for social-</w:t>
      </w:r>
      <w:proofErr w:type="spellStart"/>
      <w:r w:rsidRPr="001B34B6">
        <w:rPr>
          <w:rFonts w:ascii="Arial" w:eastAsia="Times New Roman" w:hAnsi="Arial" w:cs="Arial"/>
          <w:sz w:val="20"/>
          <w:szCs w:val="20"/>
        </w:rPr>
        <w:t>defence</w:t>
      </w:r>
      <w:proofErr w:type="spellEnd"/>
      <w:r w:rsidRPr="001B34B6">
        <w:rPr>
          <w:rFonts w:ascii="Arial" w:eastAsia="Times New Roman" w:hAnsi="Arial" w:cs="Arial"/>
          <w:sz w:val="20"/>
          <w:szCs w:val="20"/>
        </w:rPr>
        <w:t xml:space="preserve">. It is intended to suppress a social and economic mischief....an evil which attempts to poison, for monetary pains the very sources of sustenance of life and the well-being of the community. The evil of adulteration of food and its effects on the health of the community are assuming alarming proportions. The offence of adulteration is a socio-economic offence....The construction appropriate to </w:t>
      </w:r>
      <w:proofErr w:type="gramStart"/>
      <w:r w:rsidRPr="001B34B6">
        <w:rPr>
          <w:rFonts w:ascii="Arial" w:eastAsia="Times New Roman" w:hAnsi="Arial" w:cs="Arial"/>
          <w:sz w:val="20"/>
          <w:szCs w:val="20"/>
        </w:rPr>
        <w:t>a social</w:t>
      </w:r>
      <w:proofErr w:type="gram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defence</w:t>
      </w:r>
      <w:proofErr w:type="spellEnd"/>
      <w:r w:rsidRPr="001B34B6">
        <w:rPr>
          <w:rFonts w:ascii="Arial" w:eastAsia="Times New Roman" w:hAnsi="Arial" w:cs="Arial"/>
          <w:sz w:val="20"/>
          <w:szCs w:val="20"/>
        </w:rPr>
        <w:t xml:space="preserve"> legislation is, therefore, one which would suppress the mischief aimed at by the legislation and advance the remedy.</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20. The grounds on which a sub-ordinate legislation can be challenged are well settled. In </w:t>
      </w:r>
      <w:r w:rsidRPr="001B34B6">
        <w:rPr>
          <w:rFonts w:ascii="Arial" w:eastAsia="Times New Roman" w:hAnsi="Arial" w:cs="Arial"/>
          <w:i/>
          <w:iCs/>
          <w:sz w:val="20"/>
          <w:szCs w:val="20"/>
        </w:rPr>
        <w:t xml:space="preserve">State of Karnataka v. H. </w:t>
      </w:r>
      <w:proofErr w:type="spellStart"/>
      <w:r w:rsidRPr="001B34B6">
        <w:rPr>
          <w:rFonts w:ascii="Arial" w:eastAsia="Times New Roman" w:hAnsi="Arial" w:cs="Arial"/>
          <w:i/>
          <w:iCs/>
          <w:sz w:val="20"/>
          <w:szCs w:val="20"/>
        </w:rPr>
        <w:t>Ganesh</w:t>
      </w:r>
      <w:proofErr w:type="spellEnd"/>
      <w:r w:rsidRPr="001B34B6">
        <w:rPr>
          <w:rFonts w:ascii="Arial" w:eastAsia="Times New Roman" w:hAnsi="Arial" w:cs="Arial"/>
          <w:i/>
          <w:iCs/>
          <w:sz w:val="20"/>
          <w:szCs w:val="20"/>
        </w:rPr>
        <w:t xml:space="preserve"> </w:t>
      </w:r>
      <w:proofErr w:type="spellStart"/>
      <w:r w:rsidRPr="001B34B6">
        <w:rPr>
          <w:rFonts w:ascii="Arial" w:eastAsia="Times New Roman" w:hAnsi="Arial" w:cs="Arial"/>
          <w:i/>
          <w:iCs/>
          <w:sz w:val="20"/>
          <w:szCs w:val="20"/>
        </w:rPr>
        <w:t>Kamath</w:t>
      </w:r>
      <w:proofErr w:type="spellEnd"/>
      <w:r w:rsidRPr="001B34B6">
        <w:rPr>
          <w:rFonts w:ascii="Arial" w:eastAsia="Times New Roman" w:hAnsi="Arial" w:cs="Arial"/>
          <w:sz w:val="20"/>
          <w:szCs w:val="20"/>
        </w:rPr>
        <w:t> MANU/SC/0269/</w:t>
      </w:r>
      <w:proofErr w:type="gramStart"/>
      <w:r w:rsidRPr="001B34B6">
        <w:rPr>
          <w:rFonts w:ascii="Arial" w:eastAsia="Times New Roman" w:hAnsi="Arial" w:cs="Arial"/>
          <w:sz w:val="20"/>
          <w:szCs w:val="20"/>
        </w:rPr>
        <w:t>1983 :</w:t>
      </w:r>
      <w:proofErr w:type="gramEnd"/>
      <w:r w:rsidRPr="001B34B6">
        <w:rPr>
          <w:rFonts w:ascii="Arial" w:eastAsia="Times New Roman" w:hAnsi="Arial" w:cs="Arial"/>
          <w:sz w:val="20"/>
          <w:szCs w:val="20"/>
        </w:rPr>
        <w:t xml:space="preserve"> 1983 (2) SCC 402, this Court held: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...It is a well-settled principle of interpretation of statutes that the conferment of rule-making power by an Act does not enable the rule making authority to make a rule which travels beyond the scope of the enabling Act or which is inconsistent therewith or repugnant thereto.</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Indian Express Newspapers (Bombay) Pvt. Ltd. v. Union of India MANU/SC/0406/</w:t>
      </w:r>
      <w:proofErr w:type="gramStart"/>
      <w:r w:rsidRPr="001B34B6">
        <w:rPr>
          <w:rFonts w:ascii="Arial" w:eastAsia="Times New Roman" w:hAnsi="Arial" w:cs="Arial"/>
          <w:sz w:val="20"/>
          <w:szCs w:val="20"/>
        </w:rPr>
        <w:t>1984 :</w:t>
      </w:r>
      <w:proofErr w:type="gramEnd"/>
      <w:r w:rsidRPr="001B34B6">
        <w:rPr>
          <w:rFonts w:ascii="Arial" w:eastAsia="Times New Roman" w:hAnsi="Arial" w:cs="Arial"/>
          <w:sz w:val="20"/>
          <w:szCs w:val="20"/>
        </w:rPr>
        <w:t xml:space="preserve"> 1985 (1) SCC 641, this Court held:</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lastRenderedPageBreak/>
        <w:t>A piece of subordinate legislation does not carry the same degree of immunity which is enjoyed by a statute passed by a competent legislature. Subordinate legislation may be questioned on any of the grounds on which plenary legislation is questioned. </w:t>
      </w:r>
      <w:r w:rsidRPr="001B34B6">
        <w:rPr>
          <w:rFonts w:ascii="Arial" w:eastAsia="Times New Roman" w:hAnsi="Arial" w:cs="Arial"/>
          <w:b/>
          <w:bCs/>
          <w:sz w:val="20"/>
          <w:szCs w:val="20"/>
        </w:rPr>
        <w:t>In addition, it may also be questioned on the ground that it does not conform to the statute under which it is made. It may further be question on the ground that it is contrary to some other statute. That is because sub-ordinate legislation must yield to plenary legislation</w:t>
      </w:r>
      <w:r w:rsidRPr="001B34B6">
        <w:rPr>
          <w:rFonts w:ascii="Arial" w:eastAsia="Times New Roman" w:hAnsi="Arial" w:cs="Arial"/>
          <w:sz w:val="20"/>
          <w:szCs w:val="20"/>
        </w:rPr>
        <w:t>.</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r w:rsidRPr="001B34B6">
        <w:rPr>
          <w:rFonts w:ascii="Arial" w:eastAsia="Times New Roman" w:hAnsi="Arial" w:cs="Arial"/>
          <w:i/>
          <w:iCs/>
          <w:sz w:val="20"/>
          <w:szCs w:val="20"/>
        </w:rPr>
        <w:t xml:space="preserve">General Officer Commanding-in-Chief v. Dr. </w:t>
      </w:r>
      <w:proofErr w:type="spellStart"/>
      <w:r w:rsidRPr="001B34B6">
        <w:rPr>
          <w:rFonts w:ascii="Arial" w:eastAsia="Times New Roman" w:hAnsi="Arial" w:cs="Arial"/>
          <w:i/>
          <w:iCs/>
          <w:sz w:val="20"/>
          <w:szCs w:val="20"/>
        </w:rPr>
        <w:t>Subhash</w:t>
      </w:r>
      <w:proofErr w:type="spellEnd"/>
      <w:r w:rsidRPr="001B34B6">
        <w:rPr>
          <w:rFonts w:ascii="Arial" w:eastAsia="Times New Roman" w:hAnsi="Arial" w:cs="Arial"/>
          <w:i/>
          <w:iCs/>
          <w:sz w:val="20"/>
          <w:szCs w:val="20"/>
        </w:rPr>
        <w:t xml:space="preserve"> Chandra </w:t>
      </w:r>
      <w:proofErr w:type="spellStart"/>
      <w:r w:rsidRPr="001B34B6">
        <w:rPr>
          <w:rFonts w:ascii="Arial" w:eastAsia="Times New Roman" w:hAnsi="Arial" w:cs="Arial"/>
          <w:i/>
          <w:iCs/>
          <w:sz w:val="20"/>
          <w:szCs w:val="20"/>
        </w:rPr>
        <w:t>Yadav</w:t>
      </w:r>
      <w:proofErr w:type="spellEnd"/>
      <w:r w:rsidRPr="001B34B6">
        <w:rPr>
          <w:rFonts w:ascii="Arial" w:eastAsia="Times New Roman" w:hAnsi="Arial" w:cs="Arial"/>
          <w:sz w:val="20"/>
          <w:szCs w:val="20"/>
        </w:rPr>
        <w:t> MANU/SC/0165/</w:t>
      </w:r>
      <w:proofErr w:type="gramStart"/>
      <w:r w:rsidRPr="001B34B6">
        <w:rPr>
          <w:rFonts w:ascii="Arial" w:eastAsia="Times New Roman" w:hAnsi="Arial" w:cs="Arial"/>
          <w:sz w:val="20"/>
          <w:szCs w:val="20"/>
        </w:rPr>
        <w:t>1988 :</w:t>
      </w:r>
      <w:proofErr w:type="gramEnd"/>
      <w:r w:rsidRPr="001B34B6">
        <w:rPr>
          <w:rFonts w:ascii="Arial" w:eastAsia="Times New Roman" w:hAnsi="Arial" w:cs="Arial"/>
          <w:sz w:val="20"/>
          <w:szCs w:val="20"/>
        </w:rPr>
        <w:t xml:space="preserve"> 1988 (2) SCC 351, this Court held:</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Rules have statutory force. But before a rule can have the effect of a statutory provision, two conditions must be fulfilled, namely, (1) it must conform to the provisions of the statute under which it is framed; and (2) it </w:t>
      </w:r>
      <w:r w:rsidRPr="001B34B6">
        <w:rPr>
          <w:rFonts w:ascii="Arial" w:eastAsia="Times New Roman" w:hAnsi="Arial" w:cs="Arial"/>
          <w:b/>
          <w:bCs/>
          <w:sz w:val="20"/>
          <w:szCs w:val="20"/>
        </w:rPr>
        <w:t>must also come within the scope and purview of the rule making power of the authority framing the rule. If either of these two conditions is not fulfilled, the rule so framed would be void.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r w:rsidRPr="001B34B6">
        <w:rPr>
          <w:rFonts w:ascii="Arial" w:eastAsia="Times New Roman" w:hAnsi="Arial" w:cs="Arial"/>
          <w:i/>
          <w:iCs/>
          <w:sz w:val="20"/>
          <w:szCs w:val="20"/>
        </w:rPr>
        <w:t>Supreme Court Employees' Welfare Association v. Union of India</w:t>
      </w:r>
      <w:r w:rsidRPr="001B34B6">
        <w:rPr>
          <w:rFonts w:ascii="Arial" w:eastAsia="Times New Roman" w:hAnsi="Arial" w:cs="Arial"/>
          <w:sz w:val="20"/>
          <w:szCs w:val="20"/>
        </w:rPr>
        <w:t> MANU/SC/0582/</w:t>
      </w:r>
      <w:proofErr w:type="gramStart"/>
      <w:r w:rsidRPr="001B34B6">
        <w:rPr>
          <w:rFonts w:ascii="Arial" w:eastAsia="Times New Roman" w:hAnsi="Arial" w:cs="Arial"/>
          <w:sz w:val="20"/>
          <w:szCs w:val="20"/>
        </w:rPr>
        <w:t>1989 :</w:t>
      </w:r>
      <w:proofErr w:type="gramEnd"/>
      <w:r w:rsidRPr="001B34B6">
        <w:rPr>
          <w:rFonts w:ascii="Arial" w:eastAsia="Times New Roman" w:hAnsi="Arial" w:cs="Arial"/>
          <w:sz w:val="20"/>
          <w:szCs w:val="20"/>
        </w:rPr>
        <w:t xml:space="preserve"> 1989 (4) SCC 187, this Court held:</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i/>
          <w:iCs/>
          <w:sz w:val="20"/>
          <w:szCs w:val="20"/>
        </w:rPr>
        <w:t>Thus as delegated legislation, a subordinate legislation must conform exactly to the power granted</w:t>
      </w:r>
      <w:r w:rsidRPr="001B34B6">
        <w:rPr>
          <w:rFonts w:ascii="Arial" w:eastAsia="Times New Roman" w:hAnsi="Arial" w:cs="Arial"/>
          <w:sz w:val="20"/>
          <w:szCs w:val="20"/>
        </w:rPr>
        <w:t>.</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 xml:space="preserve">Rules whether made under the Constitution or a Statute, must be intra </w:t>
      </w:r>
      <w:proofErr w:type="spellStart"/>
      <w:r w:rsidRPr="001B34B6">
        <w:rPr>
          <w:rFonts w:ascii="Arial" w:eastAsia="Times New Roman" w:hAnsi="Arial" w:cs="Arial"/>
          <w:sz w:val="20"/>
          <w:szCs w:val="20"/>
        </w:rPr>
        <w:t>vires</w:t>
      </w:r>
      <w:proofErr w:type="spellEnd"/>
      <w:r w:rsidRPr="001B34B6">
        <w:rPr>
          <w:rFonts w:ascii="Arial" w:eastAsia="Times New Roman" w:hAnsi="Arial" w:cs="Arial"/>
          <w:sz w:val="20"/>
          <w:szCs w:val="20"/>
        </w:rPr>
        <w:t xml:space="preserve"> the parent law under which power has been delegated. They must also be in harmony with the provisions of the Constitution and other laws. </w:t>
      </w:r>
      <w:r w:rsidRPr="001B34B6">
        <w:rPr>
          <w:rFonts w:ascii="Arial" w:eastAsia="Times New Roman" w:hAnsi="Arial" w:cs="Arial"/>
          <w:b/>
          <w:bCs/>
          <w:i/>
          <w:iCs/>
          <w:sz w:val="20"/>
          <w:szCs w:val="20"/>
        </w:rPr>
        <w:t>If they do not tend in some degree to the accomplishment of the objects for which power has been delegated to the authority, courts will declare them to be unreasonable and therefore void.</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r w:rsidRPr="001B34B6">
        <w:rPr>
          <w:rFonts w:ascii="Arial" w:eastAsia="Times New Roman" w:hAnsi="Arial" w:cs="Arial"/>
          <w:i/>
          <w:iCs/>
          <w:sz w:val="20"/>
          <w:szCs w:val="20"/>
        </w:rPr>
        <w:t xml:space="preserve">Addl. District Magistrate (Rev.) Delhi Administration v. </w:t>
      </w:r>
      <w:proofErr w:type="spellStart"/>
      <w:r w:rsidRPr="001B34B6">
        <w:rPr>
          <w:rFonts w:ascii="Arial" w:eastAsia="Times New Roman" w:hAnsi="Arial" w:cs="Arial"/>
          <w:i/>
          <w:iCs/>
          <w:sz w:val="20"/>
          <w:szCs w:val="20"/>
        </w:rPr>
        <w:t>Siri</w:t>
      </w:r>
      <w:proofErr w:type="spellEnd"/>
      <w:r w:rsidRPr="001B34B6">
        <w:rPr>
          <w:rFonts w:ascii="Arial" w:eastAsia="Times New Roman" w:hAnsi="Arial" w:cs="Arial"/>
          <w:i/>
          <w:iCs/>
          <w:sz w:val="20"/>
          <w:szCs w:val="20"/>
        </w:rPr>
        <w:t xml:space="preserve"> Ram</w:t>
      </w:r>
      <w:r w:rsidRPr="001B34B6">
        <w:rPr>
          <w:rFonts w:ascii="Arial" w:eastAsia="Times New Roman" w:hAnsi="Arial" w:cs="Arial"/>
          <w:sz w:val="20"/>
          <w:szCs w:val="20"/>
        </w:rPr>
        <w:t> MANU/SC/0369/</w:t>
      </w:r>
      <w:proofErr w:type="gramStart"/>
      <w:r w:rsidRPr="001B34B6">
        <w:rPr>
          <w:rFonts w:ascii="Arial" w:eastAsia="Times New Roman" w:hAnsi="Arial" w:cs="Arial"/>
          <w:sz w:val="20"/>
          <w:szCs w:val="20"/>
        </w:rPr>
        <w:t>2000 :</w:t>
      </w:r>
      <w:proofErr w:type="gramEnd"/>
      <w:r w:rsidRPr="001B34B6">
        <w:rPr>
          <w:rFonts w:ascii="Arial" w:eastAsia="Times New Roman" w:hAnsi="Arial" w:cs="Arial"/>
          <w:sz w:val="20"/>
          <w:szCs w:val="20"/>
        </w:rPr>
        <w:t xml:space="preserve"> 2000 (5) SCC 451, this Court reiterated:</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It is a well-</w:t>
      </w:r>
      <w:proofErr w:type="spellStart"/>
      <w:r w:rsidRPr="001B34B6">
        <w:rPr>
          <w:rFonts w:ascii="Arial" w:eastAsia="Times New Roman" w:hAnsi="Arial" w:cs="Arial"/>
          <w:sz w:val="20"/>
          <w:szCs w:val="20"/>
        </w:rPr>
        <w:t>recognised</w:t>
      </w:r>
      <w:proofErr w:type="spellEnd"/>
      <w:r w:rsidRPr="001B34B6">
        <w:rPr>
          <w:rFonts w:ascii="Arial" w:eastAsia="Times New Roman" w:hAnsi="Arial" w:cs="Arial"/>
          <w:sz w:val="20"/>
          <w:szCs w:val="20"/>
        </w:rPr>
        <w:t xml:space="preserve"> principle of interpretation of a statute that conferment of rule making power by an Act does not enable the rule making authority </w:t>
      </w:r>
      <w:r w:rsidRPr="001B34B6">
        <w:rPr>
          <w:rFonts w:ascii="Arial" w:eastAsia="Times New Roman" w:hAnsi="Arial" w:cs="Arial"/>
          <w:i/>
          <w:iCs/>
          <w:sz w:val="20"/>
          <w:szCs w:val="20"/>
        </w:rPr>
        <w:t>to make a rule which travels beyond the scope of the enabling Act or which is inconsistent therewith or repugnant thereto.</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proofErr w:type="gramStart"/>
      <w:r w:rsidRPr="001B34B6">
        <w:rPr>
          <w:rFonts w:ascii="Arial" w:eastAsia="Times New Roman" w:hAnsi="Arial" w:cs="Arial"/>
          <w:sz w:val="20"/>
          <w:szCs w:val="20"/>
        </w:rPr>
        <w:t>In </w:t>
      </w:r>
      <w:r w:rsidRPr="001B34B6">
        <w:rPr>
          <w:rFonts w:ascii="Arial" w:eastAsia="Times New Roman" w:hAnsi="Arial" w:cs="Arial"/>
          <w:i/>
          <w:iCs/>
          <w:sz w:val="20"/>
          <w:szCs w:val="20"/>
        </w:rPr>
        <w:t xml:space="preserve">Dr. </w:t>
      </w:r>
      <w:proofErr w:type="spellStart"/>
      <w:r w:rsidRPr="001B34B6">
        <w:rPr>
          <w:rFonts w:ascii="Arial" w:eastAsia="Times New Roman" w:hAnsi="Arial" w:cs="Arial"/>
          <w:i/>
          <w:iCs/>
          <w:sz w:val="20"/>
          <w:szCs w:val="20"/>
        </w:rPr>
        <w:t>Mahachandra</w:t>
      </w:r>
      <w:proofErr w:type="spellEnd"/>
      <w:r w:rsidRPr="001B34B6">
        <w:rPr>
          <w:rFonts w:ascii="Arial" w:eastAsia="Times New Roman" w:hAnsi="Arial" w:cs="Arial"/>
          <w:i/>
          <w:iCs/>
          <w:sz w:val="20"/>
          <w:szCs w:val="20"/>
        </w:rPr>
        <w:t xml:space="preserve"> Prasad Singh v. Chairman, Bihar Legislative Council and Ors.</w:t>
      </w:r>
      <w:proofErr w:type="gramEnd"/>
      <w:r w:rsidRPr="001B34B6">
        <w:rPr>
          <w:rFonts w:ascii="Arial" w:eastAsia="Times New Roman" w:hAnsi="Arial" w:cs="Arial"/>
          <w:sz w:val="20"/>
          <w:szCs w:val="20"/>
        </w:rPr>
        <w:t> MANU/SC/0921/</w:t>
      </w:r>
      <w:proofErr w:type="gramStart"/>
      <w:r w:rsidRPr="001B34B6">
        <w:rPr>
          <w:rFonts w:ascii="Arial" w:eastAsia="Times New Roman" w:hAnsi="Arial" w:cs="Arial"/>
          <w:sz w:val="20"/>
          <w:szCs w:val="20"/>
        </w:rPr>
        <w:t>2004 :</w:t>
      </w:r>
      <w:proofErr w:type="gramEnd"/>
      <w:r w:rsidRPr="001B34B6">
        <w:rPr>
          <w:rFonts w:ascii="Arial" w:eastAsia="Times New Roman" w:hAnsi="Arial" w:cs="Arial"/>
          <w:sz w:val="20"/>
          <w:szCs w:val="20"/>
        </w:rPr>
        <w:t xml:space="preserve"> 2004 (8) SCC 747, this Court explained the concept of delegated legislation thus:</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Underlying the concept of delegated legislation is the basic principle that the legislature delegates because it cannot directly exert its will in every detail. All it can in practice do is to lay down the outline. </w:t>
      </w:r>
      <w:r w:rsidRPr="001B34B6">
        <w:rPr>
          <w:rFonts w:ascii="Arial" w:eastAsia="Times New Roman" w:hAnsi="Arial" w:cs="Arial"/>
          <w:i/>
          <w:iCs/>
          <w:sz w:val="20"/>
          <w:szCs w:val="20"/>
        </w:rPr>
        <w:t>This means that the intention of the legislature, as indicated in the outline (that is the enabling Act), must be the prime guide to the meaning of delegated legislation and the extent of the power to make it.</w:t>
      </w:r>
      <w:r w:rsidRPr="001B34B6">
        <w:rPr>
          <w:rFonts w:ascii="Arial" w:eastAsia="Times New Roman" w:hAnsi="Arial" w:cs="Arial"/>
          <w:sz w:val="20"/>
          <w:szCs w:val="20"/>
        </w:rPr>
        <w:t> The true extent of the power governs the legal meaning of the delegated legislation. The delegate is not intended to travel wider than the object of the legislature. The delegate's function is to serve and promote that object, while at all times remaining true to it. That is the rule of primary intention. </w:t>
      </w:r>
      <w:r w:rsidRPr="001B34B6">
        <w:rPr>
          <w:rFonts w:ascii="Arial" w:eastAsia="Times New Roman" w:hAnsi="Arial" w:cs="Arial"/>
          <w:i/>
          <w:iCs/>
          <w:sz w:val="20"/>
          <w:szCs w:val="20"/>
        </w:rPr>
        <w:t xml:space="preserve">Power delegated by an enactment </w:t>
      </w:r>
      <w:r w:rsidRPr="001B34B6">
        <w:rPr>
          <w:rFonts w:ascii="Arial" w:eastAsia="Times New Roman" w:hAnsi="Arial" w:cs="Arial"/>
          <w:i/>
          <w:iCs/>
          <w:sz w:val="20"/>
          <w:szCs w:val="20"/>
        </w:rPr>
        <w:lastRenderedPageBreak/>
        <w:t>does not enable the authority by regulations to extent the scope or general operation of the enactment but is strictly ancillary.</w:t>
      </w:r>
      <w:r w:rsidRPr="001B34B6">
        <w:rPr>
          <w:rFonts w:ascii="Arial" w:eastAsia="Times New Roman" w:hAnsi="Arial" w:cs="Arial"/>
          <w:sz w:val="20"/>
          <w:szCs w:val="20"/>
        </w:rPr>
        <w:t xml:space="preserve"> It will </w:t>
      </w:r>
      <w:proofErr w:type="spellStart"/>
      <w:r w:rsidRPr="001B34B6">
        <w:rPr>
          <w:rFonts w:ascii="Arial" w:eastAsia="Times New Roman" w:hAnsi="Arial" w:cs="Arial"/>
          <w:sz w:val="20"/>
          <w:szCs w:val="20"/>
        </w:rPr>
        <w:t>authorise</w:t>
      </w:r>
      <w:proofErr w:type="spellEnd"/>
      <w:r w:rsidRPr="001B34B6">
        <w:rPr>
          <w:rFonts w:ascii="Arial" w:eastAsia="Times New Roman" w:hAnsi="Arial" w:cs="Arial"/>
          <w:sz w:val="20"/>
          <w:szCs w:val="20"/>
        </w:rPr>
        <w:t xml:space="preserve"> the provision of subsidiary means of carrying into effect what is enacted in the statute itself and will cover what is incidental to the execution of its specific provision. </w:t>
      </w:r>
      <w:r w:rsidRPr="001B34B6">
        <w:rPr>
          <w:rFonts w:ascii="Arial" w:eastAsia="Times New Roman" w:hAnsi="Arial" w:cs="Arial"/>
          <w:i/>
          <w:iCs/>
          <w:sz w:val="20"/>
          <w:szCs w:val="20"/>
        </w:rPr>
        <w:t>But such a power will not support attempts to widen the purposes of the Act, to add new and different means of carrying them out or to depart from or vary its ends.</w:t>
      </w:r>
      <w:r w:rsidRPr="001B34B6">
        <w:rPr>
          <w:rFonts w:ascii="Arial" w:eastAsia="Times New Roman" w:hAnsi="Arial" w:cs="Arial"/>
          <w:sz w:val="20"/>
          <w:szCs w:val="20"/>
        </w:rPr>
        <w:t xml:space="preserve"> (See Section 59 in </w:t>
      </w:r>
      <w:proofErr w:type="spellStart"/>
      <w:r w:rsidRPr="001B34B6">
        <w:rPr>
          <w:rFonts w:ascii="Arial" w:eastAsia="Times New Roman" w:hAnsi="Arial" w:cs="Arial"/>
          <w:sz w:val="20"/>
          <w:szCs w:val="20"/>
        </w:rPr>
        <w:t>chaper</w:t>
      </w:r>
      <w:proofErr w:type="spellEnd"/>
      <w:r w:rsidRPr="001B34B6">
        <w:rPr>
          <w:rFonts w:ascii="Arial" w:eastAsia="Times New Roman" w:hAnsi="Arial" w:cs="Arial"/>
          <w:sz w:val="20"/>
          <w:szCs w:val="20"/>
        </w:rPr>
        <w:t xml:space="preserve"> "Delegated Legislation" in Francis </w:t>
      </w:r>
      <w:proofErr w:type="spellStart"/>
      <w:r w:rsidRPr="001B34B6">
        <w:rPr>
          <w:rFonts w:ascii="Arial" w:eastAsia="Times New Roman" w:hAnsi="Arial" w:cs="Arial"/>
          <w:sz w:val="20"/>
          <w:szCs w:val="20"/>
        </w:rPr>
        <w:t>Bennion's</w:t>
      </w:r>
      <w:proofErr w:type="spellEnd"/>
      <w:r w:rsidRPr="001B34B6">
        <w:rPr>
          <w:rFonts w:ascii="Arial" w:eastAsia="Times New Roman" w:hAnsi="Arial" w:cs="Arial"/>
          <w:sz w:val="20"/>
          <w:szCs w:val="20"/>
        </w:rPr>
        <w:t xml:space="preserve"> Statutory Interpretation, 3</w:t>
      </w:r>
      <w:r w:rsidRPr="001B34B6">
        <w:rPr>
          <w:rFonts w:ascii="Arial" w:eastAsia="Times New Roman" w:hAnsi="Arial" w:cs="Arial"/>
          <w:sz w:val="20"/>
          <w:szCs w:val="20"/>
          <w:vertAlign w:val="superscript"/>
        </w:rPr>
        <w:t>rd</w:t>
      </w:r>
      <w:r w:rsidRPr="001B34B6">
        <w:rPr>
          <w:rFonts w:ascii="Arial" w:eastAsia="Times New Roman" w:hAnsi="Arial" w:cs="Arial"/>
          <w:sz w:val="20"/>
          <w:szCs w:val="20"/>
        </w:rPr>
        <w:t> </w:t>
      </w:r>
      <w:proofErr w:type="spellStart"/>
      <w:r w:rsidRPr="001B34B6">
        <w:rPr>
          <w:rFonts w:ascii="Arial" w:eastAsia="Times New Roman" w:hAnsi="Arial" w:cs="Arial"/>
          <w:sz w:val="20"/>
          <w:szCs w:val="20"/>
        </w:rPr>
        <w:t>Edn</w:t>
      </w:r>
      <w:proofErr w:type="spellEnd"/>
      <w:r w:rsidRPr="001B34B6">
        <w:rPr>
          <w:rFonts w:ascii="Arial" w:eastAsia="Times New Roman" w:hAnsi="Arial" w:cs="Arial"/>
          <w:sz w:val="20"/>
          <w:szCs w:val="20"/>
        </w:rPr>
        <w:t>.)</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r w:rsidRPr="001B34B6">
        <w:rPr>
          <w:rFonts w:ascii="Arial" w:eastAsia="Times New Roman" w:hAnsi="Arial" w:cs="Arial"/>
          <w:i/>
          <w:iCs/>
          <w:sz w:val="20"/>
          <w:szCs w:val="20"/>
        </w:rPr>
        <w:t>J.K. Industries v. Union of India</w:t>
      </w:r>
      <w:r w:rsidRPr="001B34B6">
        <w:rPr>
          <w:rFonts w:ascii="Arial" w:eastAsia="Times New Roman" w:hAnsi="Arial" w:cs="Arial"/>
          <w:sz w:val="20"/>
          <w:szCs w:val="20"/>
        </w:rPr>
        <w:t> 2007 (13) SCC 673, this Court reiterated the grounds on which a sub-ordinate legislation can be challenged as follows: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That, any inquiry into its </w:t>
      </w:r>
      <w:proofErr w:type="spellStart"/>
      <w:r w:rsidRPr="001B34B6">
        <w:rPr>
          <w:rFonts w:ascii="Arial" w:eastAsia="Times New Roman" w:hAnsi="Arial" w:cs="Arial"/>
          <w:sz w:val="20"/>
          <w:szCs w:val="20"/>
        </w:rPr>
        <w:t>vires</w:t>
      </w:r>
      <w:proofErr w:type="spellEnd"/>
      <w:r w:rsidRPr="001B34B6">
        <w:rPr>
          <w:rFonts w:ascii="Arial" w:eastAsia="Times New Roman" w:hAnsi="Arial" w:cs="Arial"/>
          <w:sz w:val="20"/>
          <w:szCs w:val="20"/>
        </w:rPr>
        <w:t xml:space="preserve"> must be confined to the grounds on which plenary legislation may be questioned, to the grounds that it is contrary to the statute under which it is made, to the grounds that it is contrary to other statutory provisions or on the ground that it is so patently arbitrary that it cannot be said to be in conformity with the statute. It can also be challenged on the ground that it violates Article 14 of the Constitution.</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21. We will now examine whether the rule is valid in the light of the aforesaid principles, that is (a) whether the rule making authority in making the rule has travelled beyond the scope of the Act; (b) whether the rule does not conform to the provisions of the Act; and (c) whether the rule falls within the scope and purview of the rule making power of the Central Government under Section 23 of the Act.</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22. As noticed above, the object and purpose of the Act is to eliminate the danger to human life from the sale of adulterated food and to ensure that what is sold is wholesome food. In other words, if an item of food is adulterated, or is itself an adulterant (used for adulteration), or unwholesome or injurious to health, a rule to prevent or prohibit the manufacture for sale, storage, sale or distribution of such objectionable food item will be within the scope of the Act. Such prohibition will be valid even in regard to incidental items such as misbranded food items and unlicensed food items (where </w:t>
      </w:r>
      <w:proofErr w:type="spellStart"/>
      <w:r w:rsidRPr="001B34B6">
        <w:rPr>
          <w:rFonts w:ascii="Arial" w:eastAsia="Times New Roman" w:hAnsi="Arial" w:cs="Arial"/>
          <w:sz w:val="20"/>
          <w:szCs w:val="20"/>
        </w:rPr>
        <w:t>licence</w:t>
      </w:r>
      <w:proofErr w:type="spellEnd"/>
      <w:r w:rsidRPr="001B34B6">
        <w:rPr>
          <w:rFonts w:ascii="Arial" w:eastAsia="Times New Roman" w:hAnsi="Arial" w:cs="Arial"/>
          <w:sz w:val="20"/>
          <w:szCs w:val="20"/>
        </w:rPr>
        <w:t xml:space="preserve"> is required). But where an item of food (used in the composition or preparation of human food and used as a </w:t>
      </w:r>
      <w:proofErr w:type="spellStart"/>
      <w:r w:rsidRPr="001B34B6">
        <w:rPr>
          <w:rFonts w:ascii="Arial" w:eastAsia="Times New Roman" w:hAnsi="Arial" w:cs="Arial"/>
          <w:sz w:val="20"/>
          <w:szCs w:val="20"/>
        </w:rPr>
        <w:t>flavouring</w:t>
      </w:r>
      <w:proofErr w:type="spellEnd"/>
      <w:r w:rsidRPr="001B34B6">
        <w:rPr>
          <w:rFonts w:ascii="Arial" w:eastAsia="Times New Roman" w:hAnsi="Arial" w:cs="Arial"/>
          <w:sz w:val="20"/>
          <w:szCs w:val="20"/>
        </w:rPr>
        <w:t xml:space="preserve">) is in its natural form and is unadulterated and is not injurious to health, a rule cannot be made under the provisions of the Act to ban the manufacture for sale, storage or sale of such food item on the ground such ban will ensure that the populace will use a medicated form of such food, which will benefit a section of the populace. Making available medicines or medicinal preparations to improve public health is not the object of the Act. If the object sought to be achieved is to persuade the people to use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or to ensure that people use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recourse cannot be by making a rule banning sale of common salt for human consumption under the Act. The Act cannot be used to make a rule intended to achieve an object wholly unrelated to the Act. The good intention of the rule making authority is not therefore sufficient to save the rule. We are of the view that the Rule 44I is wholly outside the scope of the Act.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23. We may next consider whether Section 7(iv) of the Act enables or empowers the Central Government to make Rule 44I. Section 7 does not relate to rule making. It relates to prohibition of manufacture for sale, storage, sale or distribution of 'objectionable' food, that is adulterated food, misbranded food, unlicensed food, food injurious to public health. Section 7(iv) provides that no person shall manufacture for sale, store, sell or distribute any article of food, the sale of which is for the time being prohibited by the Food (Health) Authority in the interest of public health. Rule 44I is not a prohibition by the Food (Health) Authority in the interest of public health. The Food (Health) Authority </w:t>
      </w:r>
      <w:r w:rsidRPr="001B34B6">
        <w:rPr>
          <w:rFonts w:ascii="Arial" w:eastAsia="Times New Roman" w:hAnsi="Arial" w:cs="Arial"/>
          <w:sz w:val="20"/>
          <w:szCs w:val="20"/>
        </w:rPr>
        <w:lastRenderedPageBreak/>
        <w:t xml:space="preserve">refers to the Director of Medical and Health Services or the Chief Officer in-charge of the health administration in a state as also any officer empowered by the central government or the state government by notification in the official gazette to exercise the power and perform the duties of the Food (Health) Authority with respect to such local area as may be specified in such notification. We are not concerned with either any notification by the central government </w:t>
      </w:r>
      <w:proofErr w:type="gramStart"/>
      <w:r w:rsidRPr="001B34B6">
        <w:rPr>
          <w:rFonts w:ascii="Arial" w:eastAsia="Times New Roman" w:hAnsi="Arial" w:cs="Arial"/>
          <w:sz w:val="20"/>
          <w:szCs w:val="20"/>
        </w:rPr>
        <w:t>constituting the</w:t>
      </w:r>
      <w:proofErr w:type="gramEnd"/>
      <w:r w:rsidRPr="001B34B6">
        <w:rPr>
          <w:rFonts w:ascii="Arial" w:eastAsia="Times New Roman" w:hAnsi="Arial" w:cs="Arial"/>
          <w:sz w:val="20"/>
          <w:szCs w:val="20"/>
        </w:rPr>
        <w:t xml:space="preserve"> Food (Health) Authority nor the exercise of power by any Food (Health) Authority in the interest of public health. Therefore, Section 7(iv) is of no assistance to decide upon the validity of Rule 44I, nor can it be a source of power to make Rule 44I, nor can it be a source of power to make Rule 44I.</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24. If the Act vests the power of prohibiting the manufacture for sale, storage or distribution of any article of food in the interests of public health, in the Food (Health) Authority, the Central Government cannot under its power to make rules for carrying out the purposes of the Act, take upon itself the power to prohibit the manufacture for sale, storage, sale and distribution of any article of food. In </w:t>
      </w:r>
      <w:proofErr w:type="spellStart"/>
      <w:r w:rsidRPr="001B34B6">
        <w:rPr>
          <w:rFonts w:ascii="Arial" w:eastAsia="Times New Roman" w:hAnsi="Arial" w:cs="Arial"/>
          <w:i/>
          <w:iCs/>
          <w:sz w:val="20"/>
          <w:szCs w:val="20"/>
        </w:rPr>
        <w:t>Godde</w:t>
      </w:r>
      <w:proofErr w:type="spellEnd"/>
      <w:r w:rsidRPr="001B34B6">
        <w:rPr>
          <w:rFonts w:ascii="Arial" w:eastAsia="Times New Roman" w:hAnsi="Arial" w:cs="Arial"/>
          <w:i/>
          <w:iCs/>
          <w:sz w:val="20"/>
          <w:szCs w:val="20"/>
        </w:rPr>
        <w:t xml:space="preserve"> </w:t>
      </w:r>
      <w:proofErr w:type="spellStart"/>
      <w:r w:rsidRPr="001B34B6">
        <w:rPr>
          <w:rFonts w:ascii="Arial" w:eastAsia="Times New Roman" w:hAnsi="Arial" w:cs="Arial"/>
          <w:i/>
          <w:iCs/>
          <w:sz w:val="20"/>
          <w:szCs w:val="20"/>
        </w:rPr>
        <w:t>Venkateswara</w:t>
      </w:r>
      <w:proofErr w:type="spellEnd"/>
      <w:r w:rsidRPr="001B34B6">
        <w:rPr>
          <w:rFonts w:ascii="Arial" w:eastAsia="Times New Roman" w:hAnsi="Arial" w:cs="Arial"/>
          <w:i/>
          <w:iCs/>
          <w:sz w:val="20"/>
          <w:szCs w:val="20"/>
        </w:rPr>
        <w:t xml:space="preserve"> </w:t>
      </w:r>
      <w:proofErr w:type="spellStart"/>
      <w:r w:rsidRPr="001B34B6">
        <w:rPr>
          <w:rFonts w:ascii="Arial" w:eastAsia="Times New Roman" w:hAnsi="Arial" w:cs="Arial"/>
          <w:i/>
          <w:iCs/>
          <w:sz w:val="20"/>
          <w:szCs w:val="20"/>
        </w:rPr>
        <w:t>Rao</w:t>
      </w:r>
      <w:proofErr w:type="spellEnd"/>
      <w:r w:rsidRPr="001B34B6">
        <w:rPr>
          <w:rFonts w:ascii="Arial" w:eastAsia="Times New Roman" w:hAnsi="Arial" w:cs="Arial"/>
          <w:i/>
          <w:iCs/>
          <w:sz w:val="20"/>
          <w:szCs w:val="20"/>
        </w:rPr>
        <w:t xml:space="preserve"> v. Government of Andhra Pradesh</w:t>
      </w:r>
      <w:r w:rsidRPr="001B34B6">
        <w:rPr>
          <w:rFonts w:ascii="Arial" w:eastAsia="Times New Roman" w:hAnsi="Arial" w:cs="Arial"/>
          <w:sz w:val="20"/>
          <w:szCs w:val="20"/>
        </w:rPr>
        <w:t> MANU/SC/0020/</w:t>
      </w:r>
      <w:proofErr w:type="gramStart"/>
      <w:r w:rsidRPr="001B34B6">
        <w:rPr>
          <w:rFonts w:ascii="Arial" w:eastAsia="Times New Roman" w:hAnsi="Arial" w:cs="Arial"/>
          <w:sz w:val="20"/>
          <w:szCs w:val="20"/>
        </w:rPr>
        <w:t>1965 :</w:t>
      </w:r>
      <w:proofErr w:type="gramEnd"/>
      <w:r w:rsidRPr="001B34B6">
        <w:rPr>
          <w:rFonts w:ascii="Arial" w:eastAsia="Times New Roman" w:hAnsi="Arial" w:cs="Arial"/>
          <w:sz w:val="20"/>
          <w:szCs w:val="20"/>
        </w:rPr>
        <w:t xml:space="preserve"> 1966 (2) SCR 172 this Court considered a similar question. Under Section 18 of the Andhra Pradesh </w:t>
      </w:r>
      <w:proofErr w:type="spellStart"/>
      <w:r w:rsidRPr="001B34B6">
        <w:rPr>
          <w:rFonts w:ascii="Arial" w:eastAsia="Times New Roman" w:hAnsi="Arial" w:cs="Arial"/>
          <w:sz w:val="20"/>
          <w:szCs w:val="20"/>
        </w:rPr>
        <w:t>Panchayat</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Samitis</w:t>
      </w:r>
      <w:proofErr w:type="spellEnd"/>
      <w:r w:rsidRPr="001B34B6">
        <w:rPr>
          <w:rFonts w:ascii="Arial" w:eastAsia="Times New Roman" w:hAnsi="Arial" w:cs="Arial"/>
          <w:sz w:val="20"/>
          <w:szCs w:val="20"/>
        </w:rPr>
        <w:t xml:space="preserve"> and </w:t>
      </w:r>
      <w:proofErr w:type="spellStart"/>
      <w:r w:rsidRPr="001B34B6">
        <w:rPr>
          <w:rFonts w:ascii="Arial" w:eastAsia="Times New Roman" w:hAnsi="Arial" w:cs="Arial"/>
          <w:sz w:val="20"/>
          <w:szCs w:val="20"/>
        </w:rPr>
        <w:t>Zilla</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Parishads</w:t>
      </w:r>
      <w:proofErr w:type="spellEnd"/>
      <w:r w:rsidRPr="001B34B6">
        <w:rPr>
          <w:rFonts w:ascii="Arial" w:eastAsia="Times New Roman" w:hAnsi="Arial" w:cs="Arial"/>
          <w:sz w:val="20"/>
          <w:szCs w:val="20"/>
        </w:rPr>
        <w:t xml:space="preserve"> Act, 1959, the power of establishing primary health </w:t>
      </w:r>
      <w:proofErr w:type="spellStart"/>
      <w:r w:rsidRPr="001B34B6">
        <w:rPr>
          <w:rFonts w:ascii="Arial" w:eastAsia="Times New Roman" w:hAnsi="Arial" w:cs="Arial"/>
          <w:sz w:val="20"/>
          <w:szCs w:val="20"/>
        </w:rPr>
        <w:t>centres</w:t>
      </w:r>
      <w:proofErr w:type="spellEnd"/>
      <w:r w:rsidRPr="001B34B6">
        <w:rPr>
          <w:rFonts w:ascii="Arial" w:eastAsia="Times New Roman" w:hAnsi="Arial" w:cs="Arial"/>
          <w:sz w:val="20"/>
          <w:szCs w:val="20"/>
        </w:rPr>
        <w:t xml:space="preserve"> was vested in the </w:t>
      </w:r>
      <w:proofErr w:type="spellStart"/>
      <w:r w:rsidRPr="001B34B6">
        <w:rPr>
          <w:rFonts w:ascii="Arial" w:eastAsia="Times New Roman" w:hAnsi="Arial" w:cs="Arial"/>
          <w:sz w:val="20"/>
          <w:szCs w:val="20"/>
        </w:rPr>
        <w:t>Panchayat</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Samitis</w:t>
      </w:r>
      <w:proofErr w:type="spellEnd"/>
      <w:r w:rsidRPr="001B34B6">
        <w:rPr>
          <w:rFonts w:ascii="Arial" w:eastAsia="Times New Roman" w:hAnsi="Arial" w:cs="Arial"/>
          <w:sz w:val="20"/>
          <w:szCs w:val="20"/>
        </w:rPr>
        <w:t>. The question was whether the State Government in purported exercise of its power under Section 69 of the said Act to make rules for carrying out the purposes of the Act, take upon itself the power to establish a primary health centre at a particular centre. This Court held that that was impermissible, observing as follows: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 xml:space="preserve">It is manifest that under the Act the statutory power to establish and maintain Primary Health </w:t>
      </w:r>
      <w:proofErr w:type="spellStart"/>
      <w:r w:rsidRPr="001B34B6">
        <w:rPr>
          <w:rFonts w:ascii="Arial" w:eastAsia="Times New Roman" w:hAnsi="Arial" w:cs="Arial"/>
          <w:sz w:val="20"/>
          <w:szCs w:val="20"/>
        </w:rPr>
        <w:t>Centres</w:t>
      </w:r>
      <w:proofErr w:type="spellEnd"/>
      <w:r w:rsidRPr="001B34B6">
        <w:rPr>
          <w:rFonts w:ascii="Arial" w:eastAsia="Times New Roman" w:hAnsi="Arial" w:cs="Arial"/>
          <w:sz w:val="20"/>
          <w:szCs w:val="20"/>
        </w:rPr>
        <w:t xml:space="preserve"> is vested in the </w:t>
      </w:r>
      <w:proofErr w:type="spellStart"/>
      <w:r w:rsidRPr="001B34B6">
        <w:rPr>
          <w:rFonts w:ascii="Arial" w:eastAsia="Times New Roman" w:hAnsi="Arial" w:cs="Arial"/>
          <w:sz w:val="20"/>
          <w:szCs w:val="20"/>
        </w:rPr>
        <w:t>Panchayat</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Samithi</w:t>
      </w:r>
      <w:proofErr w:type="spellEnd"/>
      <w:r w:rsidRPr="001B34B6">
        <w:rPr>
          <w:rFonts w:ascii="Arial" w:eastAsia="Times New Roman" w:hAnsi="Arial" w:cs="Arial"/>
          <w:sz w:val="20"/>
          <w:szCs w:val="20"/>
        </w:rPr>
        <w:t xml:space="preserve">. There is no provision vesting the said power in the Government. Under Section 69 of the Act, the Government can only make rules for carrying out the purposes of the Act; it cannot, under the guise of the said rules, convert an authority with power to establish a Primary Health Centre into only a recommendatory body. It cannot, by any rule, vest in itself a power which under the Act vests in another body. The rules, therefore, in so far as they transfer the power of the </w:t>
      </w:r>
      <w:proofErr w:type="spellStart"/>
      <w:r w:rsidRPr="001B34B6">
        <w:rPr>
          <w:rFonts w:ascii="Arial" w:eastAsia="Times New Roman" w:hAnsi="Arial" w:cs="Arial"/>
          <w:sz w:val="20"/>
          <w:szCs w:val="20"/>
        </w:rPr>
        <w:t>Panchayat</w:t>
      </w:r>
      <w:proofErr w:type="spellEnd"/>
      <w:r w:rsidRPr="001B34B6">
        <w:rPr>
          <w:rFonts w:ascii="Arial" w:eastAsia="Times New Roman" w:hAnsi="Arial" w:cs="Arial"/>
          <w:sz w:val="20"/>
          <w:szCs w:val="20"/>
        </w:rPr>
        <w:t xml:space="preserve"> </w:t>
      </w:r>
      <w:proofErr w:type="spellStart"/>
      <w:r w:rsidRPr="001B34B6">
        <w:rPr>
          <w:rFonts w:ascii="Arial" w:eastAsia="Times New Roman" w:hAnsi="Arial" w:cs="Arial"/>
          <w:sz w:val="20"/>
          <w:szCs w:val="20"/>
        </w:rPr>
        <w:t>Samithi</w:t>
      </w:r>
      <w:proofErr w:type="spellEnd"/>
      <w:r w:rsidRPr="001B34B6">
        <w:rPr>
          <w:rFonts w:ascii="Arial" w:eastAsia="Times New Roman" w:hAnsi="Arial" w:cs="Arial"/>
          <w:sz w:val="20"/>
          <w:szCs w:val="20"/>
        </w:rPr>
        <w:t xml:space="preserve"> to the Government, being inconsistent with the provisions of the Act, must yield to Section 18 of the Act.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25. We may next consider whether Clause (f) of Section 23(1 A) empowers the Central Government to make Rule 44I. The said clause enables the central government to make rules prohibiting the sale or defining the conditions of sale of any substance "</w:t>
      </w:r>
      <w:r w:rsidRPr="001B34B6">
        <w:rPr>
          <w:rFonts w:ascii="Arial" w:eastAsia="Times New Roman" w:hAnsi="Arial" w:cs="Arial"/>
          <w:b/>
          <w:bCs/>
          <w:sz w:val="20"/>
          <w:szCs w:val="20"/>
        </w:rPr>
        <w:t>which may be injurious to health when used as food</w:t>
      </w:r>
      <w:r w:rsidRPr="001B34B6">
        <w:rPr>
          <w:rFonts w:ascii="Arial" w:eastAsia="Times New Roman" w:hAnsi="Arial" w:cs="Arial"/>
          <w:sz w:val="20"/>
          <w:szCs w:val="20"/>
        </w:rPr>
        <w:t xml:space="preserve">" or restricting in any manner its use as an ingredient in the manufacture of any article of food or regulating by the issue of </w:t>
      </w:r>
      <w:proofErr w:type="spellStart"/>
      <w:r w:rsidRPr="001B34B6">
        <w:rPr>
          <w:rFonts w:ascii="Arial" w:eastAsia="Times New Roman" w:hAnsi="Arial" w:cs="Arial"/>
          <w:sz w:val="20"/>
          <w:szCs w:val="20"/>
        </w:rPr>
        <w:t>licence</w:t>
      </w:r>
      <w:proofErr w:type="spellEnd"/>
      <w:r w:rsidRPr="001B34B6">
        <w:rPr>
          <w:rFonts w:ascii="Arial" w:eastAsia="Times New Roman" w:hAnsi="Arial" w:cs="Arial"/>
          <w:sz w:val="20"/>
          <w:szCs w:val="20"/>
        </w:rPr>
        <w:t xml:space="preserve"> the manufacture or sale or any article of food. It is the specific case of the Respondent that the use of non-iodized salt is not injurious to health. The Government of India has filed two counter affidavits in WP(C) No. 80/2006. In </w:t>
      </w:r>
      <w:proofErr w:type="spellStart"/>
      <w:r w:rsidRPr="001B34B6">
        <w:rPr>
          <w:rFonts w:ascii="Arial" w:eastAsia="Times New Roman" w:hAnsi="Arial" w:cs="Arial"/>
          <w:sz w:val="20"/>
          <w:szCs w:val="20"/>
        </w:rPr>
        <w:t>para</w:t>
      </w:r>
      <w:proofErr w:type="spellEnd"/>
      <w:r w:rsidRPr="001B34B6">
        <w:rPr>
          <w:rFonts w:ascii="Arial" w:eastAsia="Times New Roman" w:hAnsi="Arial" w:cs="Arial"/>
          <w:sz w:val="20"/>
          <w:szCs w:val="20"/>
        </w:rPr>
        <w:t xml:space="preserve"> 3 of the first affidavit filed on 3.4.2006, the Respondent specifically admits as follows:</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r w:rsidRPr="001B34B6">
        <w:rPr>
          <w:rFonts w:ascii="Arial" w:eastAsia="Times New Roman" w:hAnsi="Arial" w:cs="Arial"/>
          <w:i/>
          <w:iCs/>
          <w:sz w:val="20"/>
          <w:szCs w:val="20"/>
        </w:rPr>
        <w:t>the Respondent has never stated that the use of any non-</w:t>
      </w:r>
      <w:proofErr w:type="spellStart"/>
      <w:r w:rsidRPr="001B34B6">
        <w:rPr>
          <w:rFonts w:ascii="Arial" w:eastAsia="Times New Roman" w:hAnsi="Arial" w:cs="Arial"/>
          <w:i/>
          <w:iCs/>
          <w:sz w:val="20"/>
          <w:szCs w:val="20"/>
        </w:rPr>
        <w:t>iodised</w:t>
      </w:r>
      <w:proofErr w:type="spellEnd"/>
      <w:r w:rsidRPr="001B34B6">
        <w:rPr>
          <w:rFonts w:ascii="Arial" w:eastAsia="Times New Roman" w:hAnsi="Arial" w:cs="Arial"/>
          <w:i/>
          <w:iCs/>
          <w:sz w:val="20"/>
          <w:szCs w:val="20"/>
        </w:rPr>
        <w:t xml:space="preserve"> salt is injurious to health</w:t>
      </w:r>
      <w:r w:rsidRPr="001B34B6">
        <w:rPr>
          <w:rFonts w:ascii="Arial" w:eastAsia="Times New Roman" w:hAnsi="Arial" w:cs="Arial"/>
          <w:sz w:val="20"/>
          <w:szCs w:val="20"/>
        </w:rPr>
        <w:t>....the restriction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have been issued in view of the fact that regular consumption of </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ensures prevention and control of Iodine Deficiency Disorder.</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the additional counter affidavit filed by the Respondents on 30.3.2009, the Respondent has again reiterated as follows:</w:t>
      </w:r>
    </w:p>
    <w:p w:rsidR="00C009A2" w:rsidRPr="001B34B6" w:rsidRDefault="00C009A2" w:rsidP="001B34B6">
      <w:pPr>
        <w:shd w:val="clear" w:color="auto" w:fill="FFFFFF"/>
        <w:spacing w:after="0" w:line="285" w:lineRule="atLeast"/>
        <w:ind w:right="975"/>
        <w:jc w:val="both"/>
        <w:rPr>
          <w:rFonts w:ascii="Arial" w:eastAsia="Times New Roman" w:hAnsi="Arial" w:cs="Arial"/>
          <w:sz w:val="20"/>
          <w:szCs w:val="20"/>
        </w:rPr>
      </w:pPr>
      <w:proofErr w:type="gramStart"/>
      <w:r w:rsidRPr="001B34B6">
        <w:rPr>
          <w:rFonts w:ascii="Arial" w:eastAsia="Times New Roman" w:hAnsi="Arial" w:cs="Arial"/>
          <w:i/>
          <w:iCs/>
          <w:sz w:val="20"/>
          <w:szCs w:val="20"/>
        </w:rPr>
        <w:t>That the Respondent has never stated that the use of non-</w:t>
      </w:r>
      <w:proofErr w:type="spellStart"/>
      <w:r w:rsidRPr="001B34B6">
        <w:rPr>
          <w:rFonts w:ascii="Arial" w:eastAsia="Times New Roman" w:hAnsi="Arial" w:cs="Arial"/>
          <w:i/>
          <w:iCs/>
          <w:sz w:val="20"/>
          <w:szCs w:val="20"/>
        </w:rPr>
        <w:t>iodised</w:t>
      </w:r>
      <w:proofErr w:type="spellEnd"/>
      <w:r w:rsidRPr="001B34B6">
        <w:rPr>
          <w:rFonts w:ascii="Arial" w:eastAsia="Times New Roman" w:hAnsi="Arial" w:cs="Arial"/>
          <w:i/>
          <w:iCs/>
          <w:sz w:val="20"/>
          <w:szCs w:val="20"/>
        </w:rPr>
        <w:t xml:space="preserve"> salt is injurious to health</w:t>
      </w:r>
      <w:r w:rsidRPr="001B34B6">
        <w:rPr>
          <w:rFonts w:ascii="Arial" w:eastAsia="Times New Roman" w:hAnsi="Arial" w:cs="Arial"/>
          <w:sz w:val="20"/>
          <w:szCs w:val="20"/>
        </w:rPr>
        <w:t>....That there is no blanket ban on sale of common salt.</w:t>
      </w:r>
      <w:proofErr w:type="gramEnd"/>
      <w:r w:rsidRPr="001B34B6">
        <w:rPr>
          <w:rFonts w:ascii="Arial" w:eastAsia="Times New Roman" w:hAnsi="Arial" w:cs="Arial"/>
          <w:sz w:val="20"/>
          <w:szCs w:val="20"/>
        </w:rPr>
        <w:t xml:space="preserve"> The ban on sale of common salt </w:t>
      </w:r>
      <w:r w:rsidRPr="001B34B6">
        <w:rPr>
          <w:rFonts w:ascii="Arial" w:eastAsia="Times New Roman" w:hAnsi="Arial" w:cs="Arial"/>
          <w:sz w:val="20"/>
          <w:szCs w:val="20"/>
        </w:rPr>
        <w:lastRenderedPageBreak/>
        <w:t>has been imposed (by Rule 44I</w:t>
      </w:r>
      <w:proofErr w:type="gramStart"/>
      <w:r w:rsidRPr="001B34B6">
        <w:rPr>
          <w:rFonts w:ascii="Arial" w:eastAsia="Times New Roman" w:hAnsi="Arial" w:cs="Arial"/>
          <w:sz w:val="20"/>
          <w:szCs w:val="20"/>
        </w:rPr>
        <w:t>)only</w:t>
      </w:r>
      <w:proofErr w:type="gramEnd"/>
      <w:r w:rsidRPr="001B34B6">
        <w:rPr>
          <w:rFonts w:ascii="Arial" w:eastAsia="Times New Roman" w:hAnsi="Arial" w:cs="Arial"/>
          <w:sz w:val="20"/>
          <w:szCs w:val="20"/>
        </w:rPr>
        <w:t xml:space="preserve"> for direct human consumption. Thus the ban on sale of direct salt for human consumption has been imposed in the interest of public health.</w:t>
      </w:r>
    </w:p>
    <w:p w:rsidR="00C009A2" w:rsidRPr="001B34B6" w:rsidRDefault="00C009A2" w:rsidP="001B34B6">
      <w:pPr>
        <w:shd w:val="clear" w:color="auto" w:fill="FFFFFF"/>
        <w:spacing w:after="210" w:line="285" w:lineRule="atLeast"/>
        <w:ind w:right="975"/>
        <w:jc w:val="both"/>
        <w:rPr>
          <w:rFonts w:ascii="Arial" w:eastAsia="Times New Roman" w:hAnsi="Arial" w:cs="Arial"/>
          <w:sz w:val="20"/>
          <w:szCs w:val="20"/>
        </w:rPr>
      </w:pPr>
      <w:r w:rsidRPr="001B34B6">
        <w:rPr>
          <w:rFonts w:ascii="Arial" w:eastAsia="Times New Roman" w:hAnsi="Arial" w:cs="Arial"/>
          <w:sz w:val="20"/>
          <w:szCs w:val="20"/>
        </w:rPr>
        <w:t>(</w:t>
      </w:r>
      <w:proofErr w:type="gramStart"/>
      <w:r w:rsidRPr="001B34B6">
        <w:rPr>
          <w:rFonts w:ascii="Arial" w:eastAsia="Times New Roman" w:hAnsi="Arial" w:cs="Arial"/>
          <w:sz w:val="20"/>
          <w:szCs w:val="20"/>
        </w:rPr>
        <w:t>emphasis</w:t>
      </w:r>
      <w:proofErr w:type="gramEnd"/>
      <w:r w:rsidRPr="001B34B6">
        <w:rPr>
          <w:rFonts w:ascii="Arial" w:eastAsia="Times New Roman" w:hAnsi="Arial" w:cs="Arial"/>
          <w:sz w:val="20"/>
          <w:szCs w:val="20"/>
        </w:rPr>
        <w:t xml:space="preserve"> supplied)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Section 23(1A</w:t>
      </w:r>
      <w:proofErr w:type="gramStart"/>
      <w:r w:rsidRPr="001B34B6">
        <w:rPr>
          <w:rFonts w:ascii="Arial" w:eastAsia="Times New Roman" w:hAnsi="Arial" w:cs="Arial"/>
          <w:sz w:val="20"/>
          <w:szCs w:val="20"/>
        </w:rPr>
        <w:t>)(</w:t>
      </w:r>
      <w:proofErr w:type="gramEnd"/>
      <w:r w:rsidRPr="001B34B6">
        <w:rPr>
          <w:rFonts w:ascii="Arial" w:eastAsia="Times New Roman" w:hAnsi="Arial" w:cs="Arial"/>
          <w:sz w:val="20"/>
          <w:szCs w:val="20"/>
        </w:rPr>
        <w:t>f) empowers making a rule to prohibit sale only if the substance is injurious to health when used as food. If use of common salt is not injurious to health, the question of making a rule prohibiting the sale of such a substance would not arise under Clause (f) of Section 23(1A) of the Act.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26. We will next consider whether Section 23(1) of the Act provides the source of authority to make Rule 44I. Sub-section (1) of Section 23 provides that the central government may after consultation with the Central Committee for Food Standards (constituted under Section 3 of the Act) and after previous publication by notification in the public gazette make rules to carry out the provisions of the Act. </w:t>
      </w:r>
      <w:proofErr w:type="gramStart"/>
      <w:r w:rsidRPr="001B34B6">
        <w:rPr>
          <w:rFonts w:ascii="Arial" w:eastAsia="Times New Roman" w:hAnsi="Arial" w:cs="Arial"/>
          <w:sz w:val="20"/>
          <w:szCs w:val="20"/>
        </w:rPr>
        <w:t>Statutes delegating the power to make rules follow a standard pattern.</w:t>
      </w:r>
      <w:proofErr w:type="gramEnd"/>
      <w:r w:rsidRPr="001B34B6">
        <w:rPr>
          <w:rFonts w:ascii="Arial" w:eastAsia="Times New Roman" w:hAnsi="Arial" w:cs="Arial"/>
          <w:sz w:val="20"/>
          <w:szCs w:val="20"/>
        </w:rPr>
        <w:t xml:space="preserve"> The relevant section would first contain a provision granting the power to make rules to the delegate in general terms, by using the words 'to carry out the provisions of this Act' or 'to carry out the purposes of this Act'. This is usually followed by another Sub-section enumerating the matters/areas in regard to which specific power is delegated by using the words 'in particular and without prejudice to the generality of the foregoing power, such rules may provide for all or any of the following matters." Interpreting such provisions, this Court in a number of decisions has held that where power is conferred to make subordinate legislation in general terms, the subsequent </w:t>
      </w:r>
      <w:proofErr w:type="spellStart"/>
      <w:r w:rsidRPr="001B34B6">
        <w:rPr>
          <w:rFonts w:ascii="Arial" w:eastAsia="Times New Roman" w:hAnsi="Arial" w:cs="Arial"/>
          <w:sz w:val="20"/>
          <w:szCs w:val="20"/>
        </w:rPr>
        <w:t>particularisation</w:t>
      </w:r>
      <w:proofErr w:type="spellEnd"/>
      <w:r w:rsidRPr="001B34B6">
        <w:rPr>
          <w:rFonts w:ascii="Arial" w:eastAsia="Times New Roman" w:hAnsi="Arial" w:cs="Arial"/>
          <w:sz w:val="20"/>
          <w:szCs w:val="20"/>
        </w:rPr>
        <w:t xml:space="preserve"> of the matters/topics has to be construed as merely illustrative and not limiting the scope of the general power. Consequently, even if the specific enumerated topics in Section 23(1A) may not empower the Central Government to make the impugned rule (Rule 44I), making of the Rule can be justified with reference to the general power conferred on the central government under Section 23(1), provided the rule does not travel beyond the scope of the Act. But even a general power to make rules or regulations for carrying out or giving effect to the Act, is strictly ancillary in nature and cannot enable the authority on </w:t>
      </w:r>
      <w:proofErr w:type="gramStart"/>
      <w:r w:rsidRPr="001B34B6">
        <w:rPr>
          <w:rFonts w:ascii="Arial" w:eastAsia="Times New Roman" w:hAnsi="Arial" w:cs="Arial"/>
          <w:sz w:val="20"/>
          <w:szCs w:val="20"/>
        </w:rPr>
        <w:t>whom</w:t>
      </w:r>
      <w:proofErr w:type="gramEnd"/>
      <w:r w:rsidRPr="001B34B6">
        <w:rPr>
          <w:rFonts w:ascii="Arial" w:eastAsia="Times New Roman" w:hAnsi="Arial" w:cs="Arial"/>
          <w:sz w:val="20"/>
          <w:szCs w:val="20"/>
        </w:rPr>
        <w:t xml:space="preserve"> the power is conferred to extend the scope of general operation of the Act. Therefore, such a power "will not support attempts to widen the purposes of the Act, to add new and different means to carrying them out, to depart from or vary its terms. (See: </w:t>
      </w:r>
      <w:r w:rsidRPr="001B34B6">
        <w:rPr>
          <w:rFonts w:ascii="Arial" w:eastAsia="Times New Roman" w:hAnsi="Arial" w:cs="Arial"/>
          <w:i/>
          <w:iCs/>
          <w:sz w:val="20"/>
          <w:szCs w:val="20"/>
        </w:rPr>
        <w:t>Principles of Statutory Interpretation</w:t>
      </w:r>
      <w:r w:rsidRPr="001B34B6">
        <w:rPr>
          <w:rFonts w:ascii="Arial" w:eastAsia="Times New Roman" w:hAnsi="Arial" w:cs="Arial"/>
          <w:sz w:val="20"/>
          <w:szCs w:val="20"/>
        </w:rPr>
        <w:t> by Justice G.P. Singh - 12</w:t>
      </w:r>
      <w:r w:rsidRPr="001B34B6">
        <w:rPr>
          <w:rFonts w:ascii="Arial" w:eastAsia="Times New Roman" w:hAnsi="Arial" w:cs="Arial"/>
          <w:sz w:val="20"/>
          <w:szCs w:val="20"/>
          <w:vertAlign w:val="superscript"/>
        </w:rPr>
        <w:t>th</w:t>
      </w:r>
      <w:r w:rsidRPr="001B34B6">
        <w:rPr>
          <w:rFonts w:ascii="Arial" w:eastAsia="Times New Roman" w:hAnsi="Arial" w:cs="Arial"/>
          <w:sz w:val="20"/>
          <w:szCs w:val="20"/>
        </w:rPr>
        <w:t> Edition page 1009) referring to </w:t>
      </w:r>
      <w:r w:rsidRPr="001B34B6">
        <w:rPr>
          <w:rFonts w:ascii="Arial" w:eastAsia="Times New Roman" w:hAnsi="Arial" w:cs="Arial"/>
          <w:i/>
          <w:iCs/>
          <w:sz w:val="20"/>
          <w:szCs w:val="20"/>
        </w:rPr>
        <w:t>Shanahan v. Scott</w:t>
      </w:r>
      <w:r w:rsidRPr="001B34B6">
        <w:rPr>
          <w:rFonts w:ascii="Arial" w:eastAsia="Times New Roman" w:hAnsi="Arial" w:cs="Arial"/>
          <w:sz w:val="20"/>
          <w:szCs w:val="20"/>
        </w:rPr>
        <w:t> 1957 (96) CLR 245and </w:t>
      </w:r>
      <w:r w:rsidRPr="001B34B6">
        <w:rPr>
          <w:rFonts w:ascii="Arial" w:eastAsia="Times New Roman" w:hAnsi="Arial" w:cs="Arial"/>
          <w:i/>
          <w:iCs/>
          <w:sz w:val="20"/>
          <w:szCs w:val="20"/>
        </w:rPr>
        <w:t xml:space="preserve">Utah Construction v. </w:t>
      </w:r>
      <w:proofErr w:type="spellStart"/>
      <w:r w:rsidRPr="001B34B6">
        <w:rPr>
          <w:rFonts w:ascii="Arial" w:eastAsia="Times New Roman" w:hAnsi="Arial" w:cs="Arial"/>
          <w:i/>
          <w:iCs/>
          <w:sz w:val="20"/>
          <w:szCs w:val="20"/>
        </w:rPr>
        <w:t>Pataky</w:t>
      </w:r>
      <w:proofErr w:type="spellEnd"/>
      <w:r w:rsidRPr="001B34B6">
        <w:rPr>
          <w:rFonts w:ascii="Arial" w:eastAsia="Times New Roman" w:hAnsi="Arial" w:cs="Arial"/>
          <w:sz w:val="20"/>
          <w:szCs w:val="20"/>
        </w:rPr>
        <w:t> 1965 (3) All ER 650. Rule 44I is not a rule made or required to be made to carry out the provisions of the Act, having regard to its object and scheme. It has nothing to do with curbing of food adulteration or to suppress any social or economic mischief.</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b/>
          <w:bCs/>
          <w:sz w:val="20"/>
          <w:szCs w:val="20"/>
        </w:rPr>
        <w:t>What Relief?</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27. We have already noticed that as at present there is no material to show that universal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will be injurious to public health (that is to the majority of populace who do not suffer from iodine deficiency). But we are constrained to hold that Rule 44I is ultra </w:t>
      </w:r>
      <w:proofErr w:type="spellStart"/>
      <w:r w:rsidRPr="001B34B6">
        <w:rPr>
          <w:rFonts w:ascii="Arial" w:eastAsia="Times New Roman" w:hAnsi="Arial" w:cs="Arial"/>
          <w:sz w:val="20"/>
          <w:szCs w:val="20"/>
        </w:rPr>
        <w:t>vires</w:t>
      </w:r>
      <w:proofErr w:type="spellEnd"/>
      <w:r w:rsidRPr="001B34B6">
        <w:rPr>
          <w:rFonts w:ascii="Arial" w:eastAsia="Times New Roman" w:hAnsi="Arial" w:cs="Arial"/>
          <w:sz w:val="20"/>
          <w:szCs w:val="20"/>
        </w:rPr>
        <w:t xml:space="preserve"> the Act and therefore, not valid. The result would be that the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 will be raised, which may not be in the interest of public health. We are therefore, of the view that the central government should have at least six months time to thoroughly review the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policy (universal salt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for human consumption) with reference to latest inputs and research data and if after such review, is of the view that universal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scheme requires to be continued, bring appropriate legislation or other measures in accordance with law to continue the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programmed.</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28. The question is having held that Rule 44I to be invalid, whether we can permit the continuation of the ban on sale of non-</w:t>
      </w:r>
      <w:proofErr w:type="spellStart"/>
      <w:r w:rsidRPr="001B34B6">
        <w:rPr>
          <w:rFonts w:ascii="Arial" w:eastAsia="Times New Roman" w:hAnsi="Arial" w:cs="Arial"/>
          <w:sz w:val="20"/>
          <w:szCs w:val="20"/>
        </w:rPr>
        <w:t>iodised</w:t>
      </w:r>
      <w:proofErr w:type="spellEnd"/>
      <w:r w:rsidRPr="001B34B6">
        <w:rPr>
          <w:rFonts w:ascii="Arial" w:eastAsia="Times New Roman" w:hAnsi="Arial" w:cs="Arial"/>
          <w:sz w:val="20"/>
          <w:szCs w:val="20"/>
        </w:rPr>
        <w:t xml:space="preserve"> salt for human consumption for any period. Article 142 of the </w:t>
      </w:r>
      <w:r w:rsidRPr="001B34B6">
        <w:rPr>
          <w:rFonts w:ascii="Arial" w:eastAsia="Times New Roman" w:hAnsi="Arial" w:cs="Arial"/>
          <w:sz w:val="20"/>
          <w:szCs w:val="20"/>
        </w:rPr>
        <w:lastRenderedPageBreak/>
        <w:t>Constitution vests unfettered independent jurisdiction to pass any order in public interest to do complete justice, if exercise of such jurisdiction is not be contrary to any express provision of law. In </w:t>
      </w:r>
      <w:r w:rsidRPr="001B34B6">
        <w:rPr>
          <w:rFonts w:ascii="Arial" w:eastAsia="Times New Roman" w:hAnsi="Arial" w:cs="Arial"/>
          <w:i/>
          <w:iCs/>
          <w:sz w:val="20"/>
          <w:szCs w:val="20"/>
        </w:rPr>
        <w:t xml:space="preserve">Supreme Court Bar Association v. Union of </w:t>
      </w:r>
      <w:proofErr w:type="spellStart"/>
      <w:r w:rsidRPr="001B34B6">
        <w:rPr>
          <w:rFonts w:ascii="Arial" w:eastAsia="Times New Roman" w:hAnsi="Arial" w:cs="Arial"/>
          <w:i/>
          <w:iCs/>
          <w:sz w:val="20"/>
          <w:szCs w:val="20"/>
        </w:rPr>
        <w:t>India</w:t>
      </w:r>
      <w:r w:rsidRPr="001B34B6">
        <w:rPr>
          <w:rFonts w:ascii="Arial" w:eastAsia="Times New Roman" w:hAnsi="Arial" w:cs="Arial"/>
          <w:sz w:val="20"/>
          <w:szCs w:val="20"/>
        </w:rPr>
        <w:t>MANU</w:t>
      </w:r>
      <w:proofErr w:type="spellEnd"/>
      <w:r w:rsidRPr="001B34B6">
        <w:rPr>
          <w:rFonts w:ascii="Arial" w:eastAsia="Times New Roman" w:hAnsi="Arial" w:cs="Arial"/>
          <w:sz w:val="20"/>
          <w:szCs w:val="20"/>
        </w:rPr>
        <w:t>/SC/0291/</w:t>
      </w:r>
      <w:proofErr w:type="gramStart"/>
      <w:r w:rsidRPr="001B34B6">
        <w:rPr>
          <w:rFonts w:ascii="Arial" w:eastAsia="Times New Roman" w:hAnsi="Arial" w:cs="Arial"/>
          <w:sz w:val="20"/>
          <w:szCs w:val="20"/>
        </w:rPr>
        <w:t>1998 :</w:t>
      </w:r>
      <w:proofErr w:type="gramEnd"/>
      <w:r w:rsidRPr="001B34B6">
        <w:rPr>
          <w:rFonts w:ascii="Arial" w:eastAsia="Times New Roman" w:hAnsi="Arial" w:cs="Arial"/>
          <w:sz w:val="20"/>
          <w:szCs w:val="20"/>
        </w:rPr>
        <w:t xml:space="preserve"> 1998 (4) SCC 409, this Court observed:</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The Supreme Court in exercise of its jurisdiction under Article 142 has the power to make such order as is </w:t>
      </w:r>
      <w:r w:rsidRPr="001B34B6">
        <w:rPr>
          <w:rFonts w:ascii="Arial" w:eastAsia="Times New Roman" w:hAnsi="Arial" w:cs="Arial"/>
          <w:i/>
          <w:iCs/>
          <w:sz w:val="20"/>
          <w:szCs w:val="20"/>
        </w:rPr>
        <w:t>necessary for doing complete justice</w:t>
      </w:r>
      <w:r w:rsidRPr="001B34B6">
        <w:rPr>
          <w:rFonts w:ascii="Arial" w:eastAsia="Times New Roman" w:hAnsi="Arial" w:cs="Arial"/>
          <w:sz w:val="20"/>
          <w:szCs w:val="20"/>
        </w:rPr>
        <w:t xml:space="preserve"> "between the parties in any cause or matter pending before it". The very nature of the power must lead the court to set limits for itself within which to exercise those powers and ordinarily it cannot disregard a statutory provision governing a subject, except perhaps to balance the equities between the conflicting claims of the litigating parties by "ironing out the creases" in a cause or matter before it. Indeed this Court is not a court of restricted jurisdiction of only dispute settling. It is well </w:t>
      </w:r>
      <w:proofErr w:type="spellStart"/>
      <w:r w:rsidRPr="001B34B6">
        <w:rPr>
          <w:rFonts w:ascii="Arial" w:eastAsia="Times New Roman" w:hAnsi="Arial" w:cs="Arial"/>
          <w:sz w:val="20"/>
          <w:szCs w:val="20"/>
        </w:rPr>
        <w:t>recognised</w:t>
      </w:r>
      <w:proofErr w:type="spellEnd"/>
      <w:r w:rsidRPr="001B34B6">
        <w:rPr>
          <w:rFonts w:ascii="Arial" w:eastAsia="Times New Roman" w:hAnsi="Arial" w:cs="Arial"/>
          <w:sz w:val="20"/>
          <w:szCs w:val="20"/>
        </w:rPr>
        <w:t xml:space="preserve"> and established that this Court has always been a law maker and its role travels beyond merely dispute settling. It is a "problem solver in the nebulous areas". (See. </w:t>
      </w:r>
      <w:r w:rsidRPr="001B34B6">
        <w:rPr>
          <w:rFonts w:ascii="Arial" w:eastAsia="Times New Roman" w:hAnsi="Arial" w:cs="Arial"/>
          <w:i/>
          <w:iCs/>
          <w:sz w:val="20"/>
          <w:szCs w:val="20"/>
        </w:rPr>
        <w:t xml:space="preserve">K. </w:t>
      </w:r>
      <w:proofErr w:type="spellStart"/>
      <w:r w:rsidRPr="001B34B6">
        <w:rPr>
          <w:rFonts w:ascii="Arial" w:eastAsia="Times New Roman" w:hAnsi="Arial" w:cs="Arial"/>
          <w:i/>
          <w:iCs/>
          <w:sz w:val="20"/>
          <w:szCs w:val="20"/>
        </w:rPr>
        <w:t>Veeraswami</w:t>
      </w:r>
      <w:proofErr w:type="spellEnd"/>
      <w:r w:rsidRPr="001B34B6">
        <w:rPr>
          <w:rFonts w:ascii="Arial" w:eastAsia="Times New Roman" w:hAnsi="Arial" w:cs="Arial"/>
          <w:i/>
          <w:iCs/>
          <w:sz w:val="20"/>
          <w:szCs w:val="20"/>
        </w:rPr>
        <w:t xml:space="preserve"> v. Union of India</w:t>
      </w:r>
      <w:r w:rsidRPr="001B34B6">
        <w:rPr>
          <w:rFonts w:ascii="Arial" w:eastAsia="Times New Roman" w:hAnsi="Arial" w:cs="Arial"/>
          <w:sz w:val="20"/>
          <w:szCs w:val="20"/>
        </w:rPr>
        <w:t xml:space="preserve"> MANU/SC/0610/1991 : 1991 (3) SCC 655, but the substantive statutory provisions dealing with the subject matter of a given case, cannot be altogether ignored by this Court, while making an order under Article 142. Indeed, these constitutional powers </w:t>
      </w:r>
      <w:proofErr w:type="spellStart"/>
      <w:r w:rsidRPr="001B34B6">
        <w:rPr>
          <w:rFonts w:ascii="Arial" w:eastAsia="Times New Roman" w:hAnsi="Arial" w:cs="Arial"/>
          <w:sz w:val="20"/>
          <w:szCs w:val="20"/>
        </w:rPr>
        <w:t>can not</w:t>
      </w:r>
      <w:proofErr w:type="spellEnd"/>
      <w:r w:rsidRPr="001B34B6">
        <w:rPr>
          <w:rFonts w:ascii="Arial" w:eastAsia="Times New Roman" w:hAnsi="Arial" w:cs="Arial"/>
          <w:sz w:val="20"/>
          <w:szCs w:val="20"/>
        </w:rPr>
        <w:t>, in any way, be controlled by any statutory provisions but at the same time these powers are not meant to be exercised when their exercise </w:t>
      </w:r>
      <w:r w:rsidRPr="001B34B6">
        <w:rPr>
          <w:rFonts w:ascii="Arial" w:eastAsia="Times New Roman" w:hAnsi="Arial" w:cs="Arial"/>
          <w:i/>
          <w:iCs/>
          <w:sz w:val="20"/>
          <w:szCs w:val="20"/>
        </w:rPr>
        <w:t>may come directly in conflict</w:t>
      </w:r>
      <w:r w:rsidRPr="001B34B6">
        <w:rPr>
          <w:rFonts w:ascii="Arial" w:eastAsia="Times New Roman" w:hAnsi="Arial" w:cs="Arial"/>
          <w:sz w:val="20"/>
          <w:szCs w:val="20"/>
        </w:rPr>
        <w:t> with what has been expressly provided for in statute dealing expressly with the subject.</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In </w:t>
      </w:r>
      <w:proofErr w:type="spellStart"/>
      <w:r w:rsidRPr="001B34B6">
        <w:rPr>
          <w:rFonts w:ascii="Arial" w:eastAsia="Times New Roman" w:hAnsi="Arial" w:cs="Arial"/>
          <w:i/>
          <w:iCs/>
          <w:sz w:val="20"/>
          <w:szCs w:val="20"/>
        </w:rPr>
        <w:t>Kalyan</w:t>
      </w:r>
      <w:proofErr w:type="spellEnd"/>
      <w:r w:rsidRPr="001B34B6">
        <w:rPr>
          <w:rFonts w:ascii="Arial" w:eastAsia="Times New Roman" w:hAnsi="Arial" w:cs="Arial"/>
          <w:i/>
          <w:iCs/>
          <w:sz w:val="20"/>
          <w:szCs w:val="20"/>
        </w:rPr>
        <w:t xml:space="preserve"> Chandra </w:t>
      </w:r>
      <w:proofErr w:type="spellStart"/>
      <w:r w:rsidRPr="001B34B6">
        <w:rPr>
          <w:rFonts w:ascii="Arial" w:eastAsia="Times New Roman" w:hAnsi="Arial" w:cs="Arial"/>
          <w:i/>
          <w:iCs/>
          <w:sz w:val="20"/>
          <w:szCs w:val="20"/>
        </w:rPr>
        <w:t>Sarkar</w:t>
      </w:r>
      <w:proofErr w:type="spellEnd"/>
      <w:r w:rsidRPr="001B34B6">
        <w:rPr>
          <w:rFonts w:ascii="Arial" w:eastAsia="Times New Roman" w:hAnsi="Arial" w:cs="Arial"/>
          <w:i/>
          <w:iCs/>
          <w:sz w:val="20"/>
          <w:szCs w:val="20"/>
        </w:rPr>
        <w:t xml:space="preserve"> v. Rajesh </w:t>
      </w:r>
      <w:proofErr w:type="spellStart"/>
      <w:r w:rsidRPr="001B34B6">
        <w:rPr>
          <w:rFonts w:ascii="Arial" w:eastAsia="Times New Roman" w:hAnsi="Arial" w:cs="Arial"/>
          <w:i/>
          <w:iCs/>
          <w:sz w:val="20"/>
          <w:szCs w:val="20"/>
        </w:rPr>
        <w:t>Ranjan</w:t>
      </w:r>
      <w:proofErr w:type="spellEnd"/>
      <w:r w:rsidRPr="001B34B6">
        <w:rPr>
          <w:rFonts w:ascii="Arial" w:eastAsia="Times New Roman" w:hAnsi="Arial" w:cs="Arial"/>
          <w:sz w:val="20"/>
          <w:szCs w:val="20"/>
        </w:rPr>
        <w:t> MANU/SC/0106/</w:t>
      </w:r>
      <w:proofErr w:type="gramStart"/>
      <w:r w:rsidRPr="001B34B6">
        <w:rPr>
          <w:rFonts w:ascii="Arial" w:eastAsia="Times New Roman" w:hAnsi="Arial" w:cs="Arial"/>
          <w:sz w:val="20"/>
          <w:szCs w:val="20"/>
        </w:rPr>
        <w:t>2005 :</w:t>
      </w:r>
      <w:proofErr w:type="gramEnd"/>
      <w:r w:rsidRPr="001B34B6">
        <w:rPr>
          <w:rFonts w:ascii="Arial" w:eastAsia="Times New Roman" w:hAnsi="Arial" w:cs="Arial"/>
          <w:sz w:val="20"/>
          <w:szCs w:val="20"/>
        </w:rPr>
        <w:t xml:space="preserve"> 2005 (3) SCC 284, this Court after reiterating that this Court in exercise of its jurisdiction under Article 142 of the Constitution would not pass any order which would amount to supplanting substantive law applicable to the case or ignoring express statutory provisions dealing with the subject, observed as follows:</w:t>
      </w:r>
    </w:p>
    <w:p w:rsidR="00C009A2" w:rsidRPr="001B34B6" w:rsidRDefault="00C009A2" w:rsidP="001B34B6">
      <w:pPr>
        <w:shd w:val="clear" w:color="auto" w:fill="FFFFFF"/>
        <w:spacing w:after="150" w:line="285" w:lineRule="atLeast"/>
        <w:jc w:val="both"/>
        <w:rPr>
          <w:rFonts w:ascii="Arial" w:eastAsia="Times New Roman" w:hAnsi="Arial" w:cs="Arial"/>
          <w:sz w:val="20"/>
          <w:szCs w:val="20"/>
        </w:rPr>
      </w:pPr>
      <w:r w:rsidRPr="001B34B6">
        <w:rPr>
          <w:rFonts w:ascii="Arial" w:eastAsia="Times New Roman" w:hAnsi="Arial" w:cs="Arial"/>
          <w:sz w:val="20"/>
          <w:szCs w:val="20"/>
        </w:rPr>
        <w:t>It may therefore be understood that the plenary powers of this Court under Article 142 of the Constitution are inherent in the Court and are </w:t>
      </w:r>
      <w:r w:rsidRPr="001B34B6">
        <w:rPr>
          <w:rFonts w:ascii="Arial" w:eastAsia="Times New Roman" w:hAnsi="Arial" w:cs="Arial"/>
          <w:i/>
          <w:iCs/>
          <w:sz w:val="20"/>
          <w:szCs w:val="20"/>
        </w:rPr>
        <w:t>complementary to those powers which are specifically conferred on the Court by various statutes though are not limited by those statutes</w:t>
      </w:r>
      <w:r w:rsidRPr="001B34B6">
        <w:rPr>
          <w:rFonts w:ascii="Arial" w:eastAsia="Times New Roman" w:hAnsi="Arial" w:cs="Arial"/>
          <w:sz w:val="20"/>
          <w:szCs w:val="20"/>
        </w:rPr>
        <w:t>. These powers also exist independent of the statutes with a view to do complete justice between the parties...and are in the nature of supplementary powers...[and] may be put on a different and perhaps even wider footing than ordinary inherent powers of a court to prevent injustice. The advantage that is derived from a constitutional provision couched in such a wide compass is that it prevents 'clogging or obstruction of the stream of justice. </w:t>
      </w:r>
      <w:r w:rsidRPr="001B34B6">
        <w:rPr>
          <w:rFonts w:ascii="Arial" w:eastAsia="Times New Roman" w:hAnsi="Arial" w:cs="Arial"/>
          <w:i/>
          <w:iCs/>
          <w:sz w:val="20"/>
          <w:szCs w:val="20"/>
        </w:rPr>
        <w:t>See: Supreme Court Bar Association</w:t>
      </w:r>
      <w:r w:rsidRPr="001B34B6">
        <w:rPr>
          <w:rFonts w:ascii="Arial" w:eastAsia="Times New Roman" w:hAnsi="Arial" w:cs="Arial"/>
          <w:sz w:val="20"/>
          <w:szCs w:val="20"/>
        </w:rPr>
        <w:t> (supra)</w:t>
      </w:r>
    </w:p>
    <w:p w:rsidR="00C009A2" w:rsidRPr="001B34B6" w:rsidRDefault="00C009A2" w:rsidP="001B34B6">
      <w:pPr>
        <w:shd w:val="clear" w:color="auto" w:fill="FFFFFF"/>
        <w:spacing w:after="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29. In view of the above and to do complete justice between the parties in the interest of public health, in exercise of our jurisdiction under Article 142 of the Constitution, we direct the continuation of the ban contained in Rule 44I for a period of six months. The central government may within that period review the compulsory </w:t>
      </w:r>
      <w:proofErr w:type="spellStart"/>
      <w:r w:rsidRPr="001B34B6">
        <w:rPr>
          <w:rFonts w:ascii="Arial" w:eastAsia="Times New Roman" w:hAnsi="Arial" w:cs="Arial"/>
          <w:sz w:val="20"/>
          <w:szCs w:val="20"/>
        </w:rPr>
        <w:t>iodisation</w:t>
      </w:r>
      <w:proofErr w:type="spellEnd"/>
      <w:r w:rsidRPr="001B34B6">
        <w:rPr>
          <w:rFonts w:ascii="Arial" w:eastAsia="Times New Roman" w:hAnsi="Arial" w:cs="Arial"/>
          <w:sz w:val="20"/>
          <w:szCs w:val="20"/>
        </w:rPr>
        <w:t xml:space="preserve"> programmed and if it decides to continue, may introduce appropriate legislative or other measures. It is needless to say that if it fails to take any action within the expiry of six months from today, Rule 44I shall cease to operate.</w:t>
      </w:r>
    </w:p>
    <w:p w:rsidR="00C009A2" w:rsidRPr="001B34B6" w:rsidRDefault="00C009A2" w:rsidP="001B34B6">
      <w:pPr>
        <w:shd w:val="clear" w:color="auto" w:fill="FFFFFF"/>
        <w:spacing w:after="210" w:line="285" w:lineRule="atLeast"/>
        <w:ind w:right="225"/>
        <w:jc w:val="both"/>
        <w:rPr>
          <w:rFonts w:ascii="Arial" w:eastAsia="Times New Roman" w:hAnsi="Arial" w:cs="Arial"/>
          <w:sz w:val="20"/>
          <w:szCs w:val="20"/>
        </w:rPr>
      </w:pPr>
      <w:r w:rsidRPr="001B34B6">
        <w:rPr>
          <w:rFonts w:ascii="Arial" w:eastAsia="Times New Roman" w:hAnsi="Arial" w:cs="Arial"/>
          <w:sz w:val="20"/>
          <w:szCs w:val="20"/>
        </w:rPr>
        <w:t xml:space="preserve">30. We therefore allow this writ petition in part and declare that Rule 44I of the Prevention of Food Adulteration Rules, 1955 (inserted by Prevention of Food Adulteration (Eighth Amendment) Rules 2005) is beyond the rulemaking power of the Central Government and ultra </w:t>
      </w:r>
      <w:proofErr w:type="spellStart"/>
      <w:r w:rsidRPr="001B34B6">
        <w:rPr>
          <w:rFonts w:ascii="Arial" w:eastAsia="Times New Roman" w:hAnsi="Arial" w:cs="Arial"/>
          <w:sz w:val="20"/>
          <w:szCs w:val="20"/>
        </w:rPr>
        <w:t>vires</w:t>
      </w:r>
      <w:proofErr w:type="spellEnd"/>
      <w:r w:rsidRPr="001B34B6">
        <w:rPr>
          <w:rFonts w:ascii="Arial" w:eastAsia="Times New Roman" w:hAnsi="Arial" w:cs="Arial"/>
          <w:sz w:val="20"/>
          <w:szCs w:val="20"/>
        </w:rPr>
        <w:t xml:space="preserve"> the Act subject to the continuation of the ban contained in Rule 44I for a period of six months in terms of the previous paragraph. The Transferred Cases are also disposed of in terms of the decision in the writ petition.</w:t>
      </w:r>
    </w:p>
    <w:p w:rsidR="001C107E" w:rsidRPr="001B34B6" w:rsidRDefault="001C107E" w:rsidP="001B34B6">
      <w:pPr>
        <w:jc w:val="both"/>
        <w:rPr>
          <w:rFonts w:ascii="Arial" w:hAnsi="Arial" w:cs="Arial"/>
          <w:sz w:val="20"/>
          <w:szCs w:val="20"/>
        </w:rPr>
      </w:pPr>
    </w:p>
    <w:sectPr w:rsidR="001C107E" w:rsidRPr="001B34B6" w:rsidSect="00412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009A2"/>
    <w:rsid w:val="00041816"/>
    <w:rsid w:val="001B34B6"/>
    <w:rsid w:val="001C107E"/>
    <w:rsid w:val="004129B3"/>
    <w:rsid w:val="006741D5"/>
    <w:rsid w:val="00990153"/>
    <w:rsid w:val="00C009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C009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09A2"/>
  </w:style>
  <w:style w:type="paragraph" w:styleId="NormalWeb">
    <w:name w:val="Normal (Web)"/>
    <w:basedOn w:val="Normal"/>
    <w:uiPriority w:val="99"/>
    <w:unhideWhenUsed/>
    <w:rsid w:val="00C009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09A2"/>
    <w:rPr>
      <w:color w:val="0000FF"/>
      <w:u w:val="single"/>
    </w:rPr>
  </w:style>
  <w:style w:type="paragraph" w:customStyle="1" w:styleId="rightalign">
    <w:name w:val="rightalign"/>
    <w:basedOn w:val="Normal"/>
    <w:rsid w:val="00C00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9722045">
      <w:bodyDiv w:val="1"/>
      <w:marLeft w:val="0"/>
      <w:marRight w:val="0"/>
      <w:marTop w:val="0"/>
      <w:marBottom w:val="0"/>
      <w:divBdr>
        <w:top w:val="none" w:sz="0" w:space="0" w:color="auto"/>
        <w:left w:val="none" w:sz="0" w:space="0" w:color="auto"/>
        <w:bottom w:val="none" w:sz="0" w:space="0" w:color="auto"/>
        <w:right w:val="none" w:sz="0" w:space="0" w:color="auto"/>
      </w:divBdr>
      <w:divsChild>
        <w:div w:id="2080205705">
          <w:marLeft w:val="0"/>
          <w:marRight w:val="0"/>
          <w:marTop w:val="75"/>
          <w:marBottom w:val="75"/>
          <w:divBdr>
            <w:top w:val="none" w:sz="0" w:space="0" w:color="auto"/>
            <w:left w:val="none" w:sz="0" w:space="0" w:color="auto"/>
            <w:bottom w:val="none" w:sz="0" w:space="0" w:color="auto"/>
            <w:right w:val="none" w:sz="0" w:space="0" w:color="auto"/>
          </w:divBdr>
          <w:divsChild>
            <w:div w:id="151870519">
              <w:marLeft w:val="0"/>
              <w:marRight w:val="0"/>
              <w:marTop w:val="0"/>
              <w:marBottom w:val="0"/>
              <w:divBdr>
                <w:top w:val="none" w:sz="0" w:space="0" w:color="auto"/>
                <w:left w:val="none" w:sz="0" w:space="0" w:color="auto"/>
                <w:bottom w:val="none" w:sz="0" w:space="0" w:color="auto"/>
                <w:right w:val="none" w:sz="0" w:space="0" w:color="auto"/>
              </w:divBdr>
            </w:div>
            <w:div w:id="508254271">
              <w:marLeft w:val="0"/>
              <w:marRight w:val="0"/>
              <w:marTop w:val="75"/>
              <w:marBottom w:val="0"/>
              <w:divBdr>
                <w:top w:val="none" w:sz="0" w:space="0" w:color="auto"/>
                <w:left w:val="none" w:sz="0" w:space="0" w:color="auto"/>
                <w:bottom w:val="none" w:sz="0" w:space="0" w:color="auto"/>
                <w:right w:val="none" w:sz="0" w:space="0" w:color="auto"/>
              </w:divBdr>
              <w:divsChild>
                <w:div w:id="1354722109">
                  <w:marLeft w:val="0"/>
                  <w:marRight w:val="0"/>
                  <w:marTop w:val="0"/>
                  <w:marBottom w:val="0"/>
                  <w:divBdr>
                    <w:top w:val="none" w:sz="0" w:space="0" w:color="auto"/>
                    <w:left w:val="none" w:sz="0" w:space="0" w:color="auto"/>
                    <w:bottom w:val="none" w:sz="0" w:space="0" w:color="auto"/>
                    <w:right w:val="none" w:sz="0" w:space="0" w:color="auto"/>
                  </w:divBdr>
                </w:div>
              </w:divsChild>
            </w:div>
            <w:div w:id="113987469">
              <w:marLeft w:val="0"/>
              <w:marRight w:val="0"/>
              <w:marTop w:val="0"/>
              <w:marBottom w:val="0"/>
              <w:divBdr>
                <w:top w:val="none" w:sz="0" w:space="0" w:color="auto"/>
                <w:left w:val="none" w:sz="0" w:space="0" w:color="auto"/>
                <w:bottom w:val="none" w:sz="0" w:space="0" w:color="auto"/>
                <w:right w:val="none" w:sz="0" w:space="0" w:color="auto"/>
              </w:divBdr>
            </w:div>
          </w:divsChild>
        </w:div>
        <w:div w:id="2023702387">
          <w:marLeft w:val="0"/>
          <w:marRight w:val="0"/>
          <w:marTop w:val="75"/>
          <w:marBottom w:val="75"/>
          <w:divBdr>
            <w:top w:val="none" w:sz="0" w:space="0" w:color="auto"/>
            <w:left w:val="none" w:sz="0" w:space="0" w:color="auto"/>
            <w:bottom w:val="none" w:sz="0" w:space="0" w:color="auto"/>
            <w:right w:val="none" w:sz="0" w:space="0" w:color="auto"/>
          </w:divBdr>
          <w:divsChild>
            <w:div w:id="270403105">
              <w:marLeft w:val="0"/>
              <w:marRight w:val="0"/>
              <w:marTop w:val="0"/>
              <w:marBottom w:val="0"/>
              <w:divBdr>
                <w:top w:val="none" w:sz="0" w:space="0" w:color="auto"/>
                <w:left w:val="none" w:sz="0" w:space="0" w:color="auto"/>
                <w:bottom w:val="none" w:sz="0" w:space="0" w:color="auto"/>
                <w:right w:val="none" w:sz="0" w:space="0" w:color="auto"/>
              </w:divBdr>
            </w:div>
            <w:div w:id="2095466164">
              <w:marLeft w:val="0"/>
              <w:marRight w:val="0"/>
              <w:marTop w:val="75"/>
              <w:marBottom w:val="0"/>
              <w:divBdr>
                <w:top w:val="none" w:sz="0" w:space="0" w:color="auto"/>
                <w:left w:val="none" w:sz="0" w:space="0" w:color="auto"/>
                <w:bottom w:val="none" w:sz="0" w:space="0" w:color="auto"/>
                <w:right w:val="none" w:sz="0" w:space="0" w:color="auto"/>
              </w:divBdr>
              <w:divsChild>
                <w:div w:id="477235437">
                  <w:marLeft w:val="0"/>
                  <w:marRight w:val="0"/>
                  <w:marTop w:val="0"/>
                  <w:marBottom w:val="0"/>
                  <w:divBdr>
                    <w:top w:val="none" w:sz="0" w:space="0" w:color="auto"/>
                    <w:left w:val="none" w:sz="0" w:space="0" w:color="auto"/>
                    <w:bottom w:val="none" w:sz="0" w:space="0" w:color="auto"/>
                    <w:right w:val="none" w:sz="0" w:space="0" w:color="auto"/>
                  </w:divBdr>
                </w:div>
              </w:divsChild>
            </w:div>
            <w:div w:id="1992446067">
              <w:marLeft w:val="0"/>
              <w:marRight w:val="0"/>
              <w:marTop w:val="0"/>
              <w:marBottom w:val="0"/>
              <w:divBdr>
                <w:top w:val="none" w:sz="0" w:space="0" w:color="auto"/>
                <w:left w:val="none" w:sz="0" w:space="0" w:color="auto"/>
                <w:bottom w:val="none" w:sz="0" w:space="0" w:color="auto"/>
                <w:right w:val="none" w:sz="0" w:space="0" w:color="auto"/>
              </w:divBdr>
            </w:div>
          </w:divsChild>
        </w:div>
        <w:div w:id="1070614243">
          <w:blockQuote w:val="1"/>
          <w:marLeft w:val="600"/>
          <w:marRight w:val="750"/>
          <w:marTop w:val="150"/>
          <w:marBottom w:val="150"/>
          <w:divBdr>
            <w:top w:val="none" w:sz="0" w:space="0" w:color="auto"/>
            <w:left w:val="none" w:sz="0" w:space="0" w:color="auto"/>
            <w:bottom w:val="none" w:sz="0" w:space="0" w:color="auto"/>
            <w:right w:val="none" w:sz="0" w:space="0" w:color="auto"/>
          </w:divBdr>
        </w:div>
        <w:div w:id="1931741263">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9809532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60869164">
          <w:blockQuote w:val="1"/>
          <w:marLeft w:val="600"/>
          <w:marRight w:val="750"/>
          <w:marTop w:val="150"/>
          <w:marBottom w:val="150"/>
          <w:divBdr>
            <w:top w:val="none" w:sz="0" w:space="0" w:color="auto"/>
            <w:left w:val="none" w:sz="0" w:space="0" w:color="auto"/>
            <w:bottom w:val="none" w:sz="0" w:space="0" w:color="auto"/>
            <w:right w:val="none" w:sz="0" w:space="0" w:color="auto"/>
          </w:divBdr>
        </w:div>
        <w:div w:id="96295759">
          <w:blockQuote w:val="1"/>
          <w:marLeft w:val="600"/>
          <w:marRight w:val="750"/>
          <w:marTop w:val="150"/>
          <w:marBottom w:val="150"/>
          <w:divBdr>
            <w:top w:val="none" w:sz="0" w:space="0" w:color="auto"/>
            <w:left w:val="none" w:sz="0" w:space="0" w:color="auto"/>
            <w:bottom w:val="none" w:sz="0" w:space="0" w:color="auto"/>
            <w:right w:val="none" w:sz="0" w:space="0" w:color="auto"/>
          </w:divBdr>
        </w:div>
        <w:div w:id="521553958">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031955555">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53377626">
          <w:blockQuote w:val="1"/>
          <w:marLeft w:val="600"/>
          <w:marRight w:val="750"/>
          <w:marTop w:val="150"/>
          <w:marBottom w:val="150"/>
          <w:divBdr>
            <w:top w:val="none" w:sz="0" w:space="0" w:color="auto"/>
            <w:left w:val="none" w:sz="0" w:space="0" w:color="auto"/>
            <w:bottom w:val="none" w:sz="0" w:space="0" w:color="auto"/>
            <w:right w:val="none" w:sz="0" w:space="0" w:color="auto"/>
          </w:divBdr>
        </w:div>
        <w:div w:id="54166892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501626471">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06269472">
          <w:blockQuote w:val="1"/>
          <w:marLeft w:val="600"/>
          <w:marRight w:val="750"/>
          <w:marTop w:val="150"/>
          <w:marBottom w:val="150"/>
          <w:divBdr>
            <w:top w:val="none" w:sz="0" w:space="0" w:color="auto"/>
            <w:left w:val="none" w:sz="0" w:space="0" w:color="auto"/>
            <w:bottom w:val="none" w:sz="0" w:space="0" w:color="auto"/>
            <w:right w:val="none" w:sz="0" w:space="0" w:color="auto"/>
          </w:divBdr>
        </w:div>
        <w:div w:id="618296327">
          <w:blockQuote w:val="1"/>
          <w:marLeft w:val="600"/>
          <w:marRight w:val="750"/>
          <w:marTop w:val="150"/>
          <w:marBottom w:val="150"/>
          <w:divBdr>
            <w:top w:val="none" w:sz="0" w:space="0" w:color="auto"/>
            <w:left w:val="none" w:sz="0" w:space="0" w:color="auto"/>
            <w:bottom w:val="none" w:sz="0" w:space="0" w:color="auto"/>
            <w:right w:val="none" w:sz="0" w:space="0" w:color="auto"/>
          </w:divBdr>
        </w:div>
        <w:div w:id="1304971505">
          <w:blockQuote w:val="1"/>
          <w:marLeft w:val="600"/>
          <w:marRight w:val="750"/>
          <w:marTop w:val="150"/>
          <w:marBottom w:val="150"/>
          <w:divBdr>
            <w:top w:val="none" w:sz="0" w:space="0" w:color="auto"/>
            <w:left w:val="none" w:sz="0" w:space="0" w:color="auto"/>
            <w:bottom w:val="none" w:sz="0" w:space="0" w:color="auto"/>
            <w:right w:val="none" w:sz="0" w:space="0" w:color="auto"/>
          </w:divBdr>
        </w:div>
        <w:div w:id="1682312469">
          <w:blockQuote w:val="1"/>
          <w:marLeft w:val="600"/>
          <w:marRight w:val="750"/>
          <w:marTop w:val="150"/>
          <w:marBottom w:val="150"/>
          <w:divBdr>
            <w:top w:val="none" w:sz="0" w:space="0" w:color="auto"/>
            <w:left w:val="none" w:sz="0" w:space="0" w:color="auto"/>
            <w:bottom w:val="none" w:sz="0" w:space="0" w:color="auto"/>
            <w:right w:val="none" w:sz="0" w:space="0" w:color="auto"/>
          </w:divBdr>
        </w:div>
        <w:div w:id="1774665543">
          <w:blockQuote w:val="1"/>
          <w:marLeft w:val="600"/>
          <w:marRight w:val="750"/>
          <w:marTop w:val="150"/>
          <w:marBottom w:val="150"/>
          <w:divBdr>
            <w:top w:val="none" w:sz="0" w:space="0" w:color="auto"/>
            <w:left w:val="none" w:sz="0" w:space="0" w:color="auto"/>
            <w:bottom w:val="none" w:sz="0" w:space="0" w:color="auto"/>
            <w:right w:val="none" w:sz="0" w:space="0" w:color="auto"/>
          </w:divBdr>
        </w:div>
        <w:div w:id="402530428">
          <w:blockQuote w:val="1"/>
          <w:marLeft w:val="600"/>
          <w:marRight w:val="750"/>
          <w:marTop w:val="150"/>
          <w:marBottom w:val="150"/>
          <w:divBdr>
            <w:top w:val="none" w:sz="0" w:space="0" w:color="auto"/>
            <w:left w:val="none" w:sz="0" w:space="0" w:color="auto"/>
            <w:bottom w:val="none" w:sz="0" w:space="0" w:color="auto"/>
            <w:right w:val="none" w:sz="0" w:space="0" w:color="auto"/>
          </w:divBdr>
        </w:div>
        <w:div w:id="1196432722">
          <w:blockQuote w:val="1"/>
          <w:marLeft w:val="600"/>
          <w:marRight w:val="750"/>
          <w:marTop w:val="150"/>
          <w:marBottom w:val="150"/>
          <w:divBdr>
            <w:top w:val="none" w:sz="0" w:space="0" w:color="auto"/>
            <w:left w:val="none" w:sz="0" w:space="0" w:color="auto"/>
            <w:bottom w:val="none" w:sz="0" w:space="0" w:color="auto"/>
            <w:right w:val="none" w:sz="0" w:space="0" w:color="auto"/>
          </w:divBdr>
        </w:div>
        <w:div w:id="1484202956">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767187367">
              <w:blockQuote w:val="1"/>
              <w:marLeft w:val="600"/>
              <w:marRight w:val="750"/>
              <w:marTop w:val="150"/>
              <w:marBottom w:val="150"/>
              <w:divBdr>
                <w:top w:val="none" w:sz="0" w:space="0" w:color="auto"/>
                <w:left w:val="none" w:sz="0" w:space="0" w:color="auto"/>
                <w:bottom w:val="none" w:sz="0" w:space="0" w:color="auto"/>
                <w:right w:val="none" w:sz="0" w:space="0" w:color="auto"/>
              </w:divBdr>
            </w:div>
            <w:div w:id="762067452">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19518861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2132238689">
              <w:blockQuote w:val="1"/>
              <w:marLeft w:val="600"/>
              <w:marRight w:val="750"/>
              <w:marTop w:val="150"/>
              <w:marBottom w:val="150"/>
              <w:divBdr>
                <w:top w:val="none" w:sz="0" w:space="0" w:color="auto"/>
                <w:left w:val="none" w:sz="0" w:space="0" w:color="auto"/>
                <w:bottom w:val="none" w:sz="0" w:space="0" w:color="auto"/>
                <w:right w:val="none" w:sz="0" w:space="0" w:color="auto"/>
              </w:divBdr>
            </w:div>
            <w:div w:id="163860484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231035634">
          <w:blockQuote w:val="1"/>
          <w:marLeft w:val="600"/>
          <w:marRight w:val="750"/>
          <w:marTop w:val="150"/>
          <w:marBottom w:val="150"/>
          <w:divBdr>
            <w:top w:val="none" w:sz="0" w:space="0" w:color="auto"/>
            <w:left w:val="none" w:sz="0" w:space="0" w:color="auto"/>
            <w:bottom w:val="none" w:sz="0" w:space="0" w:color="auto"/>
            <w:right w:val="none" w:sz="0" w:space="0" w:color="auto"/>
          </w:divBdr>
        </w:div>
        <w:div w:id="82343442">
          <w:blockQuote w:val="1"/>
          <w:marLeft w:val="600"/>
          <w:marRight w:val="750"/>
          <w:marTop w:val="150"/>
          <w:marBottom w:val="150"/>
          <w:divBdr>
            <w:top w:val="none" w:sz="0" w:space="0" w:color="auto"/>
            <w:left w:val="none" w:sz="0" w:space="0" w:color="auto"/>
            <w:bottom w:val="none" w:sz="0" w:space="0" w:color="auto"/>
            <w:right w:val="none" w:sz="0" w:space="0" w:color="auto"/>
          </w:divBdr>
        </w:div>
        <w:div w:id="775519256">
          <w:blockQuote w:val="1"/>
          <w:marLeft w:val="600"/>
          <w:marRight w:val="750"/>
          <w:marTop w:val="150"/>
          <w:marBottom w:val="150"/>
          <w:divBdr>
            <w:top w:val="none" w:sz="0" w:space="0" w:color="auto"/>
            <w:left w:val="none" w:sz="0" w:space="0" w:color="auto"/>
            <w:bottom w:val="none" w:sz="0" w:space="0" w:color="auto"/>
            <w:right w:val="none" w:sz="0" w:space="0" w:color="auto"/>
          </w:divBdr>
        </w:div>
        <w:div w:id="1447889839">
          <w:blockQuote w:val="1"/>
          <w:marLeft w:val="600"/>
          <w:marRight w:val="750"/>
          <w:marTop w:val="150"/>
          <w:marBottom w:val="150"/>
          <w:divBdr>
            <w:top w:val="none" w:sz="0" w:space="0" w:color="auto"/>
            <w:left w:val="none" w:sz="0" w:space="0" w:color="auto"/>
            <w:bottom w:val="none" w:sz="0" w:space="0" w:color="auto"/>
            <w:right w:val="none" w:sz="0" w:space="0" w:color="auto"/>
          </w:divBdr>
        </w:div>
        <w:div w:id="835077108">
          <w:blockQuote w:val="1"/>
          <w:marLeft w:val="600"/>
          <w:marRight w:val="750"/>
          <w:marTop w:val="150"/>
          <w:marBottom w:val="150"/>
          <w:divBdr>
            <w:top w:val="none" w:sz="0" w:space="0" w:color="auto"/>
            <w:left w:val="none" w:sz="0" w:space="0" w:color="auto"/>
            <w:bottom w:val="none" w:sz="0" w:space="0" w:color="auto"/>
            <w:right w:val="none" w:sz="0" w:space="0" w:color="auto"/>
          </w:divBdr>
        </w:div>
        <w:div w:id="1906180816">
          <w:blockQuote w:val="1"/>
          <w:marLeft w:val="600"/>
          <w:marRight w:val="750"/>
          <w:marTop w:val="150"/>
          <w:marBottom w:val="150"/>
          <w:divBdr>
            <w:top w:val="none" w:sz="0" w:space="0" w:color="auto"/>
            <w:left w:val="none" w:sz="0" w:space="0" w:color="auto"/>
            <w:bottom w:val="none" w:sz="0" w:space="0" w:color="auto"/>
            <w:right w:val="none" w:sz="0" w:space="0" w:color="auto"/>
          </w:divBdr>
        </w:div>
        <w:div w:id="1689525652">
          <w:blockQuote w:val="1"/>
          <w:marLeft w:val="600"/>
          <w:marRight w:val="750"/>
          <w:marTop w:val="150"/>
          <w:marBottom w:val="150"/>
          <w:divBdr>
            <w:top w:val="none" w:sz="0" w:space="0" w:color="auto"/>
            <w:left w:val="none" w:sz="0" w:space="0" w:color="auto"/>
            <w:bottom w:val="none" w:sz="0" w:space="0" w:color="auto"/>
            <w:right w:val="none" w:sz="0" w:space="0" w:color="auto"/>
          </w:divBdr>
        </w:div>
        <w:div w:id="1024356899">
          <w:blockQuote w:val="1"/>
          <w:marLeft w:val="600"/>
          <w:marRight w:val="750"/>
          <w:marTop w:val="150"/>
          <w:marBottom w:val="150"/>
          <w:divBdr>
            <w:top w:val="none" w:sz="0" w:space="0" w:color="auto"/>
            <w:left w:val="none" w:sz="0" w:space="0" w:color="auto"/>
            <w:bottom w:val="none" w:sz="0" w:space="0" w:color="auto"/>
            <w:right w:val="none" w:sz="0" w:space="0" w:color="auto"/>
          </w:divBdr>
        </w:div>
        <w:div w:id="1592617269">
          <w:blockQuote w:val="1"/>
          <w:marLeft w:val="600"/>
          <w:marRight w:val="750"/>
          <w:marTop w:val="150"/>
          <w:marBottom w:val="150"/>
          <w:divBdr>
            <w:top w:val="none" w:sz="0" w:space="0" w:color="auto"/>
            <w:left w:val="none" w:sz="0" w:space="0" w:color="auto"/>
            <w:bottom w:val="none" w:sz="0" w:space="0" w:color="auto"/>
            <w:right w:val="none" w:sz="0" w:space="0" w:color="auto"/>
          </w:divBdr>
        </w:div>
        <w:div w:id="1001421955">
          <w:blockQuote w:val="1"/>
          <w:marLeft w:val="600"/>
          <w:marRight w:val="750"/>
          <w:marTop w:val="150"/>
          <w:marBottom w:val="150"/>
          <w:divBdr>
            <w:top w:val="none" w:sz="0" w:space="0" w:color="auto"/>
            <w:left w:val="none" w:sz="0" w:space="0" w:color="auto"/>
            <w:bottom w:val="none" w:sz="0" w:space="0" w:color="auto"/>
            <w:right w:val="none" w:sz="0" w:space="0" w:color="auto"/>
          </w:divBdr>
        </w:div>
        <w:div w:id="1674841971">
          <w:blockQuote w:val="1"/>
          <w:marLeft w:val="600"/>
          <w:marRight w:val="750"/>
          <w:marTop w:val="150"/>
          <w:marBottom w:val="150"/>
          <w:divBdr>
            <w:top w:val="none" w:sz="0" w:space="0" w:color="auto"/>
            <w:left w:val="none" w:sz="0" w:space="0" w:color="auto"/>
            <w:bottom w:val="none" w:sz="0" w:space="0" w:color="auto"/>
            <w:right w:val="none" w:sz="0" w:space="0" w:color="auto"/>
          </w:divBdr>
        </w:div>
        <w:div w:id="932128571">
          <w:blockQuote w:val="1"/>
          <w:marLeft w:val="600"/>
          <w:marRight w:val="750"/>
          <w:marTop w:val="150"/>
          <w:marBottom w:val="150"/>
          <w:divBdr>
            <w:top w:val="none" w:sz="0" w:space="0" w:color="auto"/>
            <w:left w:val="none" w:sz="0" w:space="0" w:color="auto"/>
            <w:bottom w:val="none" w:sz="0" w:space="0" w:color="auto"/>
            <w:right w:val="none" w:sz="0" w:space="0" w:color="auto"/>
          </w:divBdr>
        </w:div>
        <w:div w:id="258415113">
          <w:blockQuote w:val="1"/>
          <w:marLeft w:val="600"/>
          <w:marRight w:val="750"/>
          <w:marTop w:val="150"/>
          <w:marBottom w:val="150"/>
          <w:divBdr>
            <w:top w:val="none" w:sz="0" w:space="0" w:color="auto"/>
            <w:left w:val="none" w:sz="0" w:space="0" w:color="auto"/>
            <w:bottom w:val="none" w:sz="0" w:space="0" w:color="auto"/>
            <w:right w:val="none" w:sz="0" w:space="0" w:color="auto"/>
          </w:divBdr>
        </w:div>
        <w:div w:id="1340623028">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8381</Words>
  <Characters>47778</Characters>
  <Application>Microsoft Office Word</Application>
  <DocSecurity>0</DocSecurity>
  <Lines>398</Lines>
  <Paragraphs>112</Paragraphs>
  <ScaleCrop>false</ScaleCrop>
  <Company> </Company>
  <LinksUpToDate>false</LinksUpToDate>
  <CharactersWithSpaces>56047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cp:revision>
  <dcterms:created xsi:type="dcterms:W3CDTF">2013-06-06T20:25:00Z</dcterms:created>
  <dcterms:modified xsi:type="dcterms:W3CDTF">2013-06-26T08:02:00Z</dcterms:modified>
</cp:coreProperties>
</file>